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widowControl w:val="1"/>
        <w:ind w:firstLine="709"/>
        <w:jc w:val="right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</w:rPr>
        <w:t>Приложение к Объявлению</w:t>
      </w:r>
    </w:p>
    <w:p w14:paraId="04000000">
      <w:pPr>
        <w:pStyle w:val="Style_2"/>
        <w:widowControl w:val="1"/>
        <w:ind w:firstLine="709"/>
        <w:jc w:val="both"/>
        <w:rPr>
          <w:rFonts w:ascii="Times New Roman" w:hAnsi="Times New Roman"/>
        </w:rPr>
      </w:pPr>
    </w:p>
    <w:p w14:paraId="05000000">
      <w:pPr>
        <w:pStyle w:val="Style_2"/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ПЕРЕЧЕНЬ</w:t>
      </w:r>
    </w:p>
    <w:p w14:paraId="06000000">
      <w:pPr>
        <w:pStyle w:val="Style_2"/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ДОКУМЕНТОВ, ПРЕДСТАВЛЯЕМЫХ НА ПОЛУЧЕНИЕ СУБСИДИИ В ЦЕЛЯХ</w:t>
      </w:r>
    </w:p>
    <w:p w14:paraId="07000000">
      <w:pPr>
        <w:pStyle w:val="Style_2"/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ВОЗМЕЩЕНИЯ НЕДОПОЛУЧЕННЫХ ДОХОДОВ В СВЯЗИ С ПРЕДОСТАВЛЕНИЕМ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ОТДЕЛЬНЫМ КАТЕГОРИЯМ ГРАЖДАН МЕР СОЦИАЛЬНОЙ ПОДДЕРЖКИ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 ОПЛАТЕ ЭНЕРГОСЕРВИСНЫХ ДОГОВОРОВ (КОНТРАКТОВ)</w:t>
      </w:r>
    </w:p>
    <w:p w14:paraId="08000000">
      <w:pPr>
        <w:pStyle w:val="Style_3"/>
        <w:widowControl w:val="1"/>
        <w:ind w:firstLine="709"/>
        <w:jc w:val="both"/>
      </w:pPr>
    </w:p>
    <w:p w14:paraId="09000000">
      <w:pPr>
        <w:pStyle w:val="Style_3"/>
        <w:widowControl w:val="1"/>
        <w:ind w:firstLine="709"/>
        <w:jc w:val="both"/>
      </w:pPr>
      <w:r>
        <w:t>1. Юридические лица и индивидуальные предприниматели, претендующие на получение субсидии (далее - претенденты), представляют заявку на участие в отборе (далее - заявка), в которой отражаются в том числе сведения:</w:t>
      </w:r>
    </w:p>
    <w:p w14:paraId="0A000000">
      <w:pPr>
        <w:pStyle w:val="Style_3"/>
        <w:widowControl w:val="1"/>
        <w:ind w:firstLine="709"/>
        <w:jc w:val="both"/>
      </w:pPr>
      <w:r>
        <w:t>1.1. О непроведении в отношении претендента</w:t>
      </w:r>
      <w:r>
        <w:t>, являющегося юридическим лицом, на день подачи заявки процедуры ликвидации, реорганизации (за исключением реорганизации в форме присоединения к претенденту другого юридического лица), процедуры банкротства, неприостановлении деятельности в порядке, предус</w:t>
      </w:r>
      <w:r>
        <w:t>мотренном законодательством Российской Федерации, непрекращении претендентом, являющимся индивидуальным предпринимателем, деятельности в качестве индивидуального предпринимателя.</w:t>
      </w:r>
    </w:p>
    <w:p w14:paraId="0B000000">
      <w:pPr>
        <w:pStyle w:val="Style_3"/>
        <w:widowControl w:val="1"/>
        <w:ind w:firstLine="709"/>
        <w:jc w:val="both"/>
      </w:pPr>
      <w:r>
        <w:t>1.2. Об отсутствии у претендента на день подачи заявки просроченной задолженн</w:t>
      </w:r>
      <w:r>
        <w:t>ости по возврату в бюджет города Москвы ранее предоставленных субсидий, грантов, бюджетных инвестиций, предоставленных в том числе в соответствии с иными правовыми актами города Москвы.</w:t>
      </w:r>
    </w:p>
    <w:p w14:paraId="0C000000">
      <w:pPr>
        <w:pStyle w:val="Style_3"/>
        <w:widowControl w:val="1"/>
        <w:ind w:firstLine="709"/>
        <w:jc w:val="both"/>
      </w:pPr>
      <w:r>
        <w:t>1.3. О неполучении претендентом на день подачи заявки средств из бюдже</w:t>
      </w:r>
      <w:r>
        <w:t>та города Москвы в соответствии с иными нормативными правовыми актами на те же цели, на которые предоставляется субсидия.</w:t>
      </w:r>
    </w:p>
    <w:p w14:paraId="0D000000">
      <w:pPr>
        <w:pStyle w:val="Style_3"/>
        <w:widowControl w:val="1"/>
        <w:ind w:firstLine="709"/>
        <w:jc w:val="both"/>
      </w:pPr>
      <w:r>
        <w:t>1.4. О неотнесении претендента из числа юридических лиц на день подачи заявки к иностранным юридическим лицам, в том числе иностранным</w:t>
      </w:r>
      <w:r>
        <w:t xml:space="preserve"> юридическим лицам,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</w:t>
      </w:r>
      <w:r>
        <w:t>ийской Федерации (далее - офшорные компании), а также российским юридическим лицам,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процентов.</w:t>
      </w:r>
    </w:p>
    <w:p w14:paraId="0E000000">
      <w:pPr>
        <w:pStyle w:val="Style_3"/>
        <w:widowControl w:val="1"/>
        <w:ind w:firstLine="709"/>
        <w:jc w:val="both"/>
        <w:rPr>
          <w:color w:themeColor="text1" w:val="000000"/>
        </w:rPr>
      </w:pPr>
      <w:r>
        <w:t>1.5. О согласии пр</w:t>
      </w:r>
      <w:r>
        <w:t xml:space="preserve">етендента на осуществление Государственным казенным учреждением города Москвы </w:t>
      </w:r>
      <w:r>
        <w:t>«</w:t>
      </w:r>
      <w:r>
        <w:t>Социальное казначейство города Москвы</w:t>
      </w:r>
      <w:r>
        <w:t>»</w:t>
      </w:r>
      <w:r>
        <w:t xml:space="preserve"> проверок соблюдения условий и порядка предоставления субсидии, а также проверок органами государственного финансового контроля в </w:t>
      </w:r>
      <w:r>
        <w:rPr>
          <w:color w:themeColor="text1" w:val="000000"/>
        </w:rPr>
        <w:t>соответст</w:t>
      </w:r>
      <w:r>
        <w:rPr>
          <w:color w:themeColor="text1" w:val="000000"/>
        </w:rPr>
        <w:t xml:space="preserve">вии со </w:t>
      </w:r>
      <w:r>
        <w:rPr>
          <w:color w:themeColor="text1" w:val="000000"/>
        </w:rPr>
        <w:t>статьями 268.1</w:t>
      </w:r>
      <w:r>
        <w:rPr>
          <w:color w:themeColor="text1" w:val="000000"/>
        </w:rPr>
        <w:t xml:space="preserve"> и </w:t>
      </w:r>
      <w:r>
        <w:rPr>
          <w:color w:themeColor="text1" w:val="000000"/>
        </w:rPr>
        <w:t>269.2</w:t>
      </w:r>
      <w:r>
        <w:rPr>
          <w:color w:themeColor="text1" w:val="000000"/>
        </w:rPr>
        <w:t xml:space="preserve"> Бюджетного кодекса Российской Федерации.</w:t>
      </w:r>
    </w:p>
    <w:p w14:paraId="0F000000">
      <w:pPr>
        <w:pStyle w:val="Style_3"/>
        <w:widowControl w:val="1"/>
        <w:ind w:firstLine="709"/>
        <w:jc w:val="both"/>
      </w:pPr>
      <w:r>
        <w:rPr>
          <w:color w:themeColor="text1" w:val="000000"/>
        </w:rPr>
        <w:t>2. Одновременно с заявкой на получение субсидии претендентом</w:t>
      </w:r>
      <w:r>
        <w:t xml:space="preserve"> представляются:</w:t>
      </w:r>
    </w:p>
    <w:p w14:paraId="10000000">
      <w:pPr>
        <w:pStyle w:val="Style_3"/>
        <w:widowControl w:val="1"/>
        <w:ind w:firstLine="709"/>
        <w:jc w:val="both"/>
      </w:pPr>
      <w:r>
        <w:t>2.1. Документ, подтверждающий полномочия лица на подачу заявки и под</w:t>
      </w:r>
      <w:r>
        <w:t>писание документов от лица претендента, в случае если заявка подписывается лицом, уполномоченным претендентом.</w:t>
      </w:r>
    </w:p>
    <w:p w14:paraId="11000000">
      <w:pPr>
        <w:pStyle w:val="Style_3"/>
        <w:widowControl w:val="1"/>
        <w:ind w:firstLine="709"/>
        <w:jc w:val="both"/>
      </w:pPr>
      <w:r>
        <w:t>2.2. Документ (отчет), содержащий сведения о недополученных доходах в связи с предоставлением гражданам мер социальной поддержки по оплате энерго</w:t>
      </w:r>
      <w:r>
        <w:t>сервисных договоров (контрактов) с указанием по каждой категории граждан, которым предоставляются меры социальной поддержки, информации о получателях мер социальной поддержки и членах их семей, а также о размерах недополученных доходов по указанным услугам</w:t>
      </w:r>
      <w:r>
        <w:t xml:space="preserve"> в связи с предоставлением мер социальной поддержки, по форме, утвержденной Департаментом труда и социальной защиты населения города Москвы.</w:t>
      </w:r>
    </w:p>
    <w:p w14:paraId="12000000">
      <w:pPr>
        <w:pStyle w:val="Style_3"/>
        <w:widowControl w:val="1"/>
        <w:ind w:firstLine="709"/>
        <w:jc w:val="both"/>
      </w:pPr>
      <w:r>
        <w:t>2.3. Реестр заключенных претендентом энергосервисных договоров, подписанный Государственным бюджетным учреждением г</w:t>
      </w:r>
      <w:r>
        <w:t xml:space="preserve">орода Москвы </w:t>
      </w:r>
      <w:r>
        <w:t>«</w:t>
      </w:r>
      <w:r>
        <w:t>Энергетика</w:t>
      </w:r>
      <w:r>
        <w:t>»</w:t>
      </w:r>
      <w:r>
        <w:t>.</w:t>
      </w:r>
    </w:p>
    <w:p w14:paraId="13000000">
      <w:pPr>
        <w:pStyle w:val="Style_3"/>
        <w:widowControl w:val="1"/>
        <w:ind w:firstLine="709"/>
        <w:jc w:val="both"/>
      </w:pPr>
      <w:r>
        <w:t xml:space="preserve">2.4. Реестр актов экономии по энергосервисным договорам, подписанный Государственным бюджетным учреждением города Москвы </w:t>
      </w:r>
      <w:r>
        <w:t>«</w:t>
      </w:r>
      <w:r>
        <w:t>Энергетика</w:t>
      </w:r>
      <w:r>
        <w:t>»</w:t>
      </w:r>
      <w:r>
        <w:t>.</w:t>
      </w:r>
    </w:p>
    <w:p w14:paraId="14000000">
      <w:pPr>
        <w:pStyle w:val="Style_3"/>
        <w:widowControl w:val="1"/>
        <w:ind w:firstLine="709"/>
        <w:jc w:val="both"/>
      </w:pPr>
      <w:r>
        <w:t xml:space="preserve">2.5. Электронные образы отчетов в отношении энергосервисных договоров, указанных в </w:t>
      </w:r>
      <w:r>
        <w:t>Реестре зак</w:t>
      </w:r>
      <w:r>
        <w:t>люченных энергосервисных договоро</w:t>
      </w:r>
      <w:bookmarkStart w:id="1" w:name="_GoBack"/>
      <w:bookmarkEnd w:id="1"/>
      <w:r>
        <w:t>в.</w:t>
      </w:r>
    </w:p>
    <w:p w14:paraId="15000000">
      <w:pPr>
        <w:pStyle w:val="Style_3"/>
        <w:widowControl w:val="1"/>
        <w:ind w:firstLine="709"/>
        <w:jc w:val="both"/>
      </w:pPr>
      <w:r>
        <w:t>2.6. Расчет размера запрашиваемой субсидии по форме, утвержденной Департаментом труда и социальной защиты населения города Москвы.</w:t>
      </w:r>
    </w:p>
    <w:p w14:paraId="16000000">
      <w:pPr>
        <w:pStyle w:val="Style_3"/>
        <w:widowControl w:val="1"/>
        <w:ind w:firstLine="709"/>
        <w:jc w:val="both"/>
      </w:pPr>
      <w:r>
        <w:t>2.7. Согласие органа государственной власти (государственного органа), осуществляющего фу</w:t>
      </w:r>
      <w:r>
        <w:t>нкции и полномочия учредителя государственного бюджетного или автономного учреждения, в отношении которого Департамент труда и социальной защиты населения города Москвы не осуществляет функции и полномочия учредителя, на участие в отборе.</w:t>
      </w:r>
    </w:p>
    <w:p w14:paraId="17000000">
      <w:pPr>
        <w:pStyle w:val="Style_3"/>
        <w:widowControl w:val="1"/>
        <w:ind w:firstLine="709"/>
        <w:jc w:val="both"/>
      </w:pPr>
      <w:bookmarkStart w:id="2" w:name="P20"/>
      <w:bookmarkEnd w:id="2"/>
      <w:r>
        <w:t>3. Государственны</w:t>
      </w:r>
      <w:r>
        <w:t xml:space="preserve">м казенным учреждением города Москвы </w:t>
      </w:r>
      <w:r>
        <w:t>«</w:t>
      </w:r>
      <w:r>
        <w:t>Социальное казначейство города Москвы</w:t>
      </w:r>
      <w:r>
        <w:t>»</w:t>
      </w:r>
      <w:r>
        <w:t xml:space="preserve"> для предоставления субсидии самостоятельно запрашиваются в рамках межведомственного взаимодействия и (или) получаются в открытых источниках:</w:t>
      </w:r>
    </w:p>
    <w:p w14:paraId="18000000">
      <w:pPr>
        <w:pStyle w:val="Style_3"/>
        <w:widowControl w:val="1"/>
        <w:ind w:firstLine="709"/>
        <w:jc w:val="both"/>
      </w:pPr>
      <w:r>
        <w:t>3.1. Выписка из единого государственно</w:t>
      </w:r>
      <w:r>
        <w:t>го реестра юридических лиц для претендентов из числа юридических лиц.</w:t>
      </w:r>
    </w:p>
    <w:p w14:paraId="19000000">
      <w:pPr>
        <w:pStyle w:val="Style_3"/>
        <w:widowControl w:val="1"/>
        <w:ind w:firstLine="709"/>
        <w:jc w:val="both"/>
      </w:pPr>
      <w:r>
        <w:t>3.2. Выписка из единого государственного реестра индивидуальных предпринимателей для претендентов из числа индивидуальных предпринимателей.</w:t>
      </w:r>
    </w:p>
    <w:p w14:paraId="1A000000">
      <w:pPr>
        <w:pStyle w:val="Style_3"/>
        <w:widowControl w:val="1"/>
        <w:ind w:firstLine="709"/>
        <w:jc w:val="both"/>
      </w:pPr>
      <w:r>
        <w:t>3.3. Сведения, содержащиеся в реестре иностран</w:t>
      </w:r>
      <w:r>
        <w:t xml:space="preserve">ных агентов в соответствии с Федеральным </w:t>
      </w:r>
      <w:r>
        <w:rPr>
          <w:color w:themeColor="text1" w:val="000000"/>
        </w:rPr>
        <w:t>законом</w:t>
      </w:r>
      <w:r>
        <w:rPr>
          <w:color w:themeColor="text1" w:val="000000"/>
        </w:rPr>
        <w:t xml:space="preserve"> от 14 июля 2022 г. </w:t>
      </w:r>
      <w:r>
        <w:rPr>
          <w:color w:themeColor="text1" w:val="000000"/>
        </w:rPr>
        <w:t>№</w:t>
      </w:r>
      <w:r>
        <w:rPr>
          <w:color w:themeColor="text1" w:val="000000"/>
        </w:rPr>
        <w:t xml:space="preserve"> 255-ФЗ </w:t>
      </w:r>
      <w:r>
        <w:rPr>
          <w:color w:themeColor="text1" w:val="000000"/>
        </w:rPr>
        <w:t>«</w:t>
      </w:r>
      <w:r>
        <w:rPr>
          <w:color w:themeColor="text1" w:val="000000"/>
        </w:rPr>
        <w:t>О контроле за деятельностью лиц, находящихся под</w:t>
      </w:r>
      <w:r>
        <w:t xml:space="preserve"> иностранным влиянием</w:t>
      </w:r>
      <w:r>
        <w:t>»</w:t>
      </w:r>
      <w:r>
        <w:t>.</w:t>
      </w:r>
    </w:p>
    <w:p w14:paraId="1B000000">
      <w:pPr>
        <w:pStyle w:val="Style_3"/>
        <w:widowControl w:val="1"/>
        <w:ind w:firstLine="709"/>
        <w:jc w:val="both"/>
      </w:pPr>
      <w:r>
        <w:t>3.4. Сведения, содержащиеся в перечне организаций и физических лиц, в отношении которых имеются све</w:t>
      </w:r>
      <w:r>
        <w:t>дения об их причастности к экстремистской деятельности или терроризму.</w:t>
      </w:r>
    </w:p>
    <w:p w14:paraId="1C000000">
      <w:pPr>
        <w:pStyle w:val="Style_3"/>
        <w:widowControl w:val="1"/>
        <w:ind w:firstLine="709"/>
        <w:jc w:val="both"/>
      </w:pPr>
      <w:r>
        <w:t>3.5. Сведения, содержащиеся в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сост</w:t>
      </w:r>
      <w:r>
        <w:t xml:space="preserve">авляемых в рамках реализации полномочий, предусмотренных </w:t>
      </w:r>
      <w:r>
        <w:rPr>
          <w:color w:themeColor="text1" w:val="000000"/>
        </w:rPr>
        <w:t>главой VII</w:t>
      </w:r>
      <w:r>
        <w:t xml:space="preserve"> Устава ООН, Советом Безопасности ООН или органами, специально созданными</w:t>
      </w:r>
      <w:r>
        <w:t xml:space="preserve"> решениями Совета Безопасности ООН.</w:t>
      </w:r>
    </w:p>
    <w:p w14:paraId="1D000000">
      <w:pPr>
        <w:pStyle w:val="Style_3"/>
        <w:widowControl w:val="1"/>
        <w:ind w:firstLine="709"/>
        <w:jc w:val="both"/>
      </w:pPr>
      <w:r>
        <w:t>3.6. Сведения, содержащиеся в реестре дисквалифицированных лиц.</w:t>
      </w:r>
    </w:p>
    <w:p w14:paraId="1E000000">
      <w:pPr>
        <w:pStyle w:val="Style_3"/>
        <w:widowControl w:val="1"/>
        <w:ind w:firstLine="709"/>
        <w:jc w:val="both"/>
      </w:pPr>
      <w:r>
        <w:t xml:space="preserve">4. Претенденты вправе представить документы, определенные в </w:t>
      </w:r>
      <w:r>
        <w:rPr>
          <w:color w:themeColor="text1" w:val="000000"/>
        </w:rPr>
        <w:t>пункте 3</w:t>
      </w:r>
      <w:r>
        <w:t xml:space="preserve"> настоящего Перечня, по собственной инициативе.</w:t>
      </w:r>
    </w:p>
    <w:sectPr>
      <w:headerReference r:id="rId1" w:type="default"/>
      <w:pgSz w:h="16838" w:orient="portrait" w:w="11906"/>
      <w:pgMar w:bottom="1440" w:footer="0" w:gutter="0" w:header="284" w:left="1133" w:right="566" w:top="993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ConsPlusJurTerm"/>
    <w:link w:val="Style_7_ch"/>
    <w:pPr>
      <w:widowControl w:val="0"/>
      <w:ind/>
    </w:pPr>
    <w:rPr>
      <w:rFonts w:ascii="Tahoma" w:hAnsi="Tahoma"/>
      <w:sz w:val="26"/>
    </w:rPr>
  </w:style>
  <w:style w:styleId="Style_7_ch" w:type="character">
    <w:name w:val="ConsPlusJurTerm"/>
    <w:link w:val="Style_7"/>
    <w:rPr>
      <w:rFonts w:ascii="Tahoma" w:hAnsi="Tahoma"/>
      <w:sz w:val="26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ConsPlusTextList"/>
    <w:link w:val="Style_10_ch"/>
    <w:pPr>
      <w:widowControl w:val="0"/>
      <w:ind/>
    </w:pPr>
    <w:rPr>
      <w:sz w:val="24"/>
    </w:rPr>
  </w:style>
  <w:style w:styleId="Style_10_ch" w:type="character">
    <w:name w:val="ConsPlusTextList"/>
    <w:link w:val="Style_10"/>
    <w:rPr>
      <w:sz w:val="24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ConsPlusNonformat"/>
    <w:link w:val="Style_13_ch"/>
    <w:pPr>
      <w:widowControl w:val="0"/>
      <w:ind/>
    </w:pPr>
    <w:rPr>
      <w:rFonts w:ascii="Courier New" w:hAnsi="Courier New"/>
    </w:rPr>
  </w:style>
  <w:style w:styleId="Style_13_ch" w:type="character">
    <w:name w:val="ConsPlusNonformat"/>
    <w:link w:val="Style_13"/>
    <w:rPr>
      <w:rFonts w:ascii="Courier New" w:hAnsi="Courier New"/>
    </w:rPr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footer"/>
    <w:basedOn w:val="Style_4"/>
    <w:link w:val="Style_15_ch"/>
    <w:pPr>
      <w:widowControl w:val="1"/>
      <w:tabs>
        <w:tab w:leader="none" w:pos="4677" w:val="center"/>
        <w:tab w:leader="none" w:pos="9355" w:val="right"/>
      </w:tabs>
      <w:ind/>
    </w:pPr>
  </w:style>
  <w:style w:styleId="Style_15_ch" w:type="character">
    <w:name w:val="footer"/>
    <w:basedOn w:val="Style_4_ch"/>
    <w:link w:val="Style_15"/>
  </w:style>
  <w:style w:styleId="Style_16" w:type="paragraph">
    <w:name w:val="ConsPlusCell"/>
    <w:link w:val="Style_16_ch"/>
    <w:pPr>
      <w:widowControl w:val="0"/>
      <w:ind/>
    </w:pPr>
    <w:rPr>
      <w:rFonts w:ascii="Courier New" w:hAnsi="Courier New"/>
    </w:rPr>
  </w:style>
  <w:style w:styleId="Style_16_ch" w:type="character">
    <w:name w:val="ConsPlusCell"/>
    <w:link w:val="Style_16"/>
    <w:rPr>
      <w:rFonts w:ascii="Courier New" w:hAnsi="Courier New"/>
    </w:rPr>
  </w:style>
  <w:style w:styleId="Style_2" w:type="paragraph">
    <w:name w:val="ConsPlusTitle"/>
    <w:link w:val="Style_2_ch"/>
    <w:pPr>
      <w:widowControl w:val="0"/>
      <w:ind/>
    </w:pPr>
    <w:rPr>
      <w:rFonts w:ascii="Arial" w:hAnsi="Arial"/>
      <w:b w:val="1"/>
      <w:sz w:val="24"/>
    </w:rPr>
  </w:style>
  <w:style w:styleId="Style_2_ch" w:type="character">
    <w:name w:val="ConsPlusTitle"/>
    <w:link w:val="Style_2"/>
    <w:rPr>
      <w:rFonts w:ascii="Arial" w:hAnsi="Arial"/>
      <w:b w:val="1"/>
      <w:sz w:val="24"/>
    </w:rPr>
  </w:style>
  <w:style w:styleId="Style_17" w:type="paragraph">
    <w:name w:val="heading 5"/>
    <w:next w:val="Style_4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4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4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4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3" w:type="paragraph">
    <w:name w:val="ConsPlusNormal"/>
    <w:link w:val="Style_3_ch"/>
    <w:pPr>
      <w:widowControl w:val="0"/>
      <w:ind/>
    </w:pPr>
    <w:rPr>
      <w:sz w:val="24"/>
    </w:rPr>
  </w:style>
  <w:style w:styleId="Style_3_ch" w:type="character">
    <w:name w:val="ConsPlusNormal"/>
    <w:link w:val="Style_3"/>
    <w:rPr>
      <w:sz w:val="24"/>
    </w:rPr>
  </w:style>
  <w:style w:styleId="Style_25" w:type="paragraph">
    <w:name w:val="ConsPlusDocList"/>
    <w:link w:val="Style_25_ch"/>
    <w:pPr>
      <w:widowControl w:val="0"/>
      <w:ind/>
    </w:pPr>
    <w:rPr>
      <w:rFonts w:ascii="Tahoma" w:hAnsi="Tahoma"/>
      <w:sz w:val="18"/>
    </w:rPr>
  </w:style>
  <w:style w:styleId="Style_25_ch" w:type="character">
    <w:name w:val="ConsPlusDocList"/>
    <w:link w:val="Style_25"/>
    <w:rPr>
      <w:rFonts w:ascii="Tahoma" w:hAnsi="Tahoma"/>
      <w:sz w:val="18"/>
    </w:rPr>
  </w:style>
  <w:style w:styleId="Style_26" w:type="paragraph">
    <w:name w:val="toc 8"/>
    <w:next w:val="Style_4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ConsPlusTextList"/>
    <w:link w:val="Style_27_ch"/>
    <w:pPr>
      <w:widowControl w:val="0"/>
      <w:ind/>
    </w:pPr>
    <w:rPr>
      <w:sz w:val="24"/>
    </w:rPr>
  </w:style>
  <w:style w:styleId="Style_27_ch" w:type="character">
    <w:name w:val="ConsPlusTextList"/>
    <w:link w:val="Style_27"/>
    <w:rPr>
      <w:sz w:val="24"/>
    </w:rPr>
  </w:style>
  <w:style w:styleId="Style_28" w:type="paragraph">
    <w:name w:val="toc 5"/>
    <w:next w:val="Style_4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ConsPlusJurTerm"/>
    <w:link w:val="Style_29_ch"/>
    <w:pPr>
      <w:widowControl w:val="0"/>
      <w:ind/>
    </w:pPr>
    <w:rPr>
      <w:rFonts w:ascii="Tahoma" w:hAnsi="Tahoma"/>
      <w:sz w:val="26"/>
    </w:rPr>
  </w:style>
  <w:style w:styleId="Style_29_ch" w:type="character">
    <w:name w:val="ConsPlusJurTerm"/>
    <w:link w:val="Style_29"/>
    <w:rPr>
      <w:rFonts w:ascii="Tahoma" w:hAnsi="Tahoma"/>
      <w:sz w:val="26"/>
    </w:rPr>
  </w:style>
  <w:style w:styleId="Style_30" w:type="paragraph">
    <w:name w:val="Subtitle"/>
    <w:next w:val="Style_4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4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4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ConsPlusTitlePage"/>
    <w:link w:val="Style_33_ch"/>
    <w:pPr>
      <w:widowControl w:val="0"/>
      <w:ind/>
    </w:pPr>
    <w:rPr>
      <w:rFonts w:ascii="Tahoma" w:hAnsi="Tahoma"/>
    </w:rPr>
  </w:style>
  <w:style w:styleId="Style_33_ch" w:type="character">
    <w:name w:val="ConsPlusTitlePage"/>
    <w:link w:val="Style_33"/>
    <w:rPr>
      <w:rFonts w:ascii="Tahoma" w:hAnsi="Tahoma"/>
    </w:rPr>
  </w:style>
  <w:style w:styleId="Style_34" w:type="paragraph">
    <w:name w:val="heading 2"/>
    <w:next w:val="Style_4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MyOffice-CoreFramework-Android/41-1442.1138.10597.1072.1@51e32e2c44ab45f6658b92f4d6d43f4c3b886c00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2026-08-10T08:05:00Z</dcterms:created>
  <dcterms:modified xsi:type="dcterms:W3CDTF">2026-08-10T08:05:00Z</dcterms:modified>
</cp:coreProperties>
</file>