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C46E09">
        <w:rPr>
          <w:rFonts w:hAnsi="Times New Roman" w:cs="Times New Roman" w:ascii="Times New Roman"/>
          <w:sz w:val="28"/>
          <w:szCs w:val="28"/>
        </w:rPr>
        <w:t>6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8825BF" w:rsidR="008825BF" w:rsidP="008825BF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 </w:t>
      </w:r>
      <w:r w:rsidR="00C6684B">
        <w:rPr>
          <w:rFonts w:hAnsi="Times New Roman" w:cs="Times New Roman" w:ascii="Times New Roman"/>
          <w:sz w:val="28"/>
          <w:szCs w:val="28"/>
        </w:rPr>
        <w:t>3</w:t>
      </w:r>
      <w:r w:rsidR="001A3964">
        <w:rPr>
          <w:rFonts w:hAnsi="Times New Roman" w:cs="Times New Roman" w:ascii="Times New Roman"/>
          <w:sz w:val="28"/>
          <w:szCs w:val="28"/>
        </w:rPr>
        <w:t xml:space="preserve"> апреля</w:t>
      </w:r>
      <w:r>
        <w:rPr>
          <w:rFonts w:hAnsi="Times New Roman" w:cs="Times New Roman" w:ascii="Times New Roman"/>
          <w:sz w:val="28"/>
          <w:szCs w:val="28"/>
        </w:rPr>
        <w:t xml:space="preserve"> 2026 г. №</w:t>
      </w:r>
      <w:r w:rsidR="00C6684B">
        <w:rPr>
          <w:rFonts w:hAnsi="Times New Roman" w:cs="Times New Roman" w:ascii="Times New Roman"/>
          <w:sz w:val="28"/>
          <w:szCs w:val="28"/>
        </w:rPr>
        <w:t xml:space="preserve"> 290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9B131B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 проведении отбора поставщиков социальных услуг,</w:t>
      </w:r>
      <w:r w:rsidRPr="00D62119">
        <w:rPr>
          <w:b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 в 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 поставщиков социальных услуг города Москвы, на право получения субсидии </w:t>
      </w:r>
      <w:r>
        <w:rPr>
          <w:rFonts w:hAnsi="Times New Roman" w:cs="Times New Roman" w:ascii="Times New Roman"/>
          <w:b/>
          <w:sz w:val="28"/>
          <w:szCs w:val="28"/>
        </w:rPr>
        <w:t xml:space="preserve">из бюджета города Москвы </w:t>
      </w:r>
      <w:r w:rsidRPr="00D62119">
        <w:rPr>
          <w:rFonts w:hAnsi="Times New Roman" w:cs="Times New Roman" w:ascii="Times New Roman"/>
          <w:b/>
          <w:sz w:val="28"/>
          <w:szCs w:val="28"/>
        </w:rPr>
        <w:t>в целях возмещения недополученных доходов в связи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 предоставлением гражданам социальных услуг</w:t>
      </w:r>
      <w:r>
        <w:rPr>
          <w:rFonts w:hAnsi="Times New Roman" w:cs="Times New Roman" w:ascii="Times New Roman"/>
          <w:b/>
          <w:sz w:val="28"/>
          <w:szCs w:val="28"/>
        </w:rPr>
        <w:t xml:space="preserve"> в форме социального обслуживания </w:t>
      </w:r>
      <w:r w:rsidRPr="00D62119">
        <w:rPr>
          <w:rFonts w:hAnsi="Times New Roman" w:cs="Times New Roman" w:ascii="Times New Roman"/>
          <w:b/>
          <w:sz w:val="28"/>
          <w:szCs w:val="28"/>
        </w:rPr>
        <w:t>на дому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 </w:t>
      </w:r>
      <w:r w:rsidR="002637F3">
        <w:rPr>
          <w:rFonts w:hAnsi="Times New Roman" w:cs="Times New Roman" w:ascii="Times New Roman"/>
          <w:b/>
          <w:sz w:val="28"/>
          <w:szCs w:val="28"/>
        </w:rPr>
        <w:t>С</w:t>
      </w:r>
      <w:r w:rsidR="00A832A7">
        <w:rPr>
          <w:rFonts w:hAnsi="Times New Roman" w:cs="Times New Roman" w:ascii="Times New Roman"/>
          <w:b/>
          <w:sz w:val="28"/>
          <w:szCs w:val="28"/>
        </w:rPr>
        <w:t>В</w:t>
      </w:r>
      <w:r w:rsidR="002637F3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B26C77" w:rsidR="003070B3" w:rsidP="000027C2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 поставщиков социальных услуг, включенных в реестр поставщиков социальных услуг города Москвы, на право получения субсидии в целях возмещения недополученных доходов 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 предоставлением гражданам социальных услуг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форме социального обслуживания на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дому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="009B78DE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181333" w:rsidR="00181333" w:rsidP="00181333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181333" w:rsidR="003070B3" w:rsidP="005A2297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5A2297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1A3964" w:rsidR="003070B3" w:rsidP="00FE4C9A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="009E3366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1A3964" w:rsidR="003070B3" w:rsidP="001A3964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="009E3366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1A3964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A3964">
              <w:rPr>
                <w:rFonts w:hAnsi="Times New Roman" w:cs="Times New Roman" w:ascii="Times New Roman"/>
                <w:b/>
                <w:sz w:val="28"/>
                <w:szCs w:val="28"/>
              </w:rPr>
              <w:t>43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1A3964">
              <w:rPr>
                <w:rFonts w:hAnsi="Times New Roman" w:cs="Times New Roman" w:ascii="Times New Roman"/>
                <w:b/>
                <w:sz w:val="28"/>
                <w:szCs w:val="28"/>
              </w:rPr>
              <w:t>999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1A3964">
              <w:rPr>
                <w:rFonts w:hAnsi="Times New Roman" w:cs="Times New Roman" w:ascii="Times New Roman"/>
                <w:b/>
                <w:sz w:val="28"/>
                <w:szCs w:val="28"/>
              </w:rPr>
              <w:t>995</w:t>
            </w:r>
            <w:r w:rsidRPr="00A36B99" w:rsidR="00A36B99"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070B3" w:rsidR="003070B3" w:rsidP="00E42BD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что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соответствует потребности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времени предоставления социальных услуг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Default="00E42BD9" w:rsidR="00E42BD9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2A0607" w:rsidRDefault="001A3964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1A3964">
              <w:rPr>
                <w:rFonts w:hAnsi="Times New Roman" w:cs="Times New Roman" w:ascii="Times New Roman"/>
                <w:b/>
                <w:sz w:val="28"/>
                <w:szCs w:val="28"/>
              </w:rPr>
              <w:t>86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1A3964">
              <w:rPr>
                <w:rFonts w:hAnsi="Times New Roman" w:cs="Times New Roman" w:ascii="Times New Roman"/>
                <w:b/>
                <w:sz w:val="28"/>
                <w:szCs w:val="28"/>
              </w:rPr>
              <w:t>785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1461D4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9E3366">
              <w:rPr>
                <w:rFonts w:hAnsi="Times New Roman" w:cs="Times New Roman" w:ascii="Times New Roman"/>
                <w:sz w:val="28"/>
                <w:szCs w:val="28"/>
              </w:rPr>
              <w:t>1 апреля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 по 3</w:t>
            </w:r>
            <w:r w:rsidR="009E3366">
              <w:rPr>
                <w:rFonts w:hAnsi="Times New Roman" w:cs="Times New Roman" w:ascii="Times New Roman"/>
                <w:sz w:val="28"/>
                <w:szCs w:val="28"/>
              </w:rPr>
              <w:t xml:space="preserve">0 </w:t>
            </w:r>
            <w:r w:rsidR="001461D4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A36B99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5A2297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716A2D" w:rsidRDefault="004614D6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5A2297" w:rsidR="003070B3" w:rsidP="00D010A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D010A2">
        <w:tc>
          <w:tcPr>
            <w:tcW w:w="567" w:type="dxa"/>
          </w:tcPr>
          <w:p w:rsidRDefault="00D010A2" w:rsidR="00D010A2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2.5 </w:t>
            </w:r>
          </w:p>
        </w:tc>
        <w:tc>
          <w:tcPr>
            <w:tcW w:w="4253" w:type="dxa"/>
          </w:tcPr>
          <w:p w:rsidRDefault="00D010A2" w:rsidR="00D010A2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Default="00D010A2" w:rsidR="00D010A2" w:rsidP="00D010A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4614D6" w:rsidR="000F7338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FE4C9A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A816D8" w:rsidRDefault="00FE4C9A" w:rsidR="00FE4C9A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4614D6" w:rsidR="004614D6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4614D6" w:rsidR="003070B3" w:rsidP="004614D6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236B91" w:rsidRDefault="004614D6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 1.3 и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1.4 Объявления,  направляет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Департамент с использование ИС РПП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на участие в отборе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Tr="005D5530" w:rsidR="004614D6">
        <w:tc>
          <w:tcPr>
            <w:tcW w:w="567" w:type="dxa"/>
          </w:tcPr>
          <w:p w:rsidRPr="007538E9" w:rsidRDefault="004614D6" w:rsidR="004614D6" w:rsidP="004614D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4614D6" w:rsidR="004614D6" w:rsidP="004614D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4614D6" w:rsidR="004614D6" w:rsidP="004614D6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 участие в отбор</w:t>
            </w:r>
            <w:r w:rsidR="00A247B6">
              <w:rPr>
                <w:rFonts w:hAnsi="Times New Roman" w:cs="Times New Roman" w:ascii="Times New Roman"/>
                <w:sz w:val="28"/>
                <w:szCs w:val="28"/>
              </w:rPr>
              <w:t xml:space="preserve">е утверждены Приказом </w:t>
            </w:r>
            <w:r w:rsidR="00A247B6">
              <w:rPr>
                <w:rFonts w:hAnsi="Times New Roman" w:cs="Times New Roman" w:ascii="Times New Roman"/>
                <w:sz w:val="28"/>
                <w:szCs w:val="28"/>
              </w:rPr>
              <w:br/>
              <w:t>и 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190105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4614D6" w:rsidR="004614D6" w:rsidP="004614D6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4614D6" w:rsidR="004614D6" w:rsidP="004614D6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4614D6" w:rsidR="004614D6" w:rsidP="004614D6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4614D6" w:rsidR="004614D6" w:rsidP="004614D6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4614D6" w:rsidR="004614D6" w:rsidP="004614D6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4614D6" w:rsidR="004614D6" w:rsidP="004614D6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4614D6">
        <w:tc>
          <w:tcPr>
            <w:tcW w:w="567" w:type="dxa"/>
          </w:tcPr>
          <w:p w:rsidRPr="007538E9" w:rsidRDefault="004614D6" w:rsidR="004614D6" w:rsidP="004614D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4614D6" w:rsidR="004614D6" w:rsidP="004614D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4614D6" w:rsidR="004614D6" w:rsidP="00FE4C9A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</w:t>
            </w:r>
            <w:r w:rsidR="00FE4C9A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Pr="007F0C76" w:rsidR="00FE4C9A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электронных документов, подписанных усиленной квалифи</w:t>
            </w:r>
            <w:r w:rsidR="00FE4C9A">
              <w:rPr>
                <w:rFonts w:hAnsi="Times New Roman" w:cs="Times New Roman" w:ascii="Times New Roman"/>
                <w:sz w:val="28"/>
                <w:szCs w:val="28"/>
              </w:rPr>
              <w:t>цированной электронной подписью</w:t>
            </w:r>
          </w:p>
          <w:p w:rsidRDefault="00FE4C9A" w:rsidR="00FE4C9A" w:rsidP="004614D6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FE4C9A" w:rsidR="00FE4C9A" w:rsidP="004614D6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FE4C9A" w:rsidR="00FE4C9A" w:rsidP="004614D6">
            <w:pPr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4614D6">
        <w:tc>
          <w:tcPr>
            <w:tcW w:w="10490" w:type="dxa"/>
            <w:gridSpan w:val="3"/>
          </w:tcPr>
          <w:p w:rsidRDefault="004614D6" w:rsidR="004614D6" w:rsidP="004614D6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4614D6">
        <w:tc>
          <w:tcPr>
            <w:tcW w:w="567" w:type="dxa"/>
          </w:tcPr>
          <w:p w:rsidRPr="007538E9" w:rsidRDefault="004614D6" w:rsidR="004614D6" w:rsidP="004614D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4614D6" w:rsidR="004614D6" w:rsidP="004614D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4614D6" w:rsidR="004614D6" w:rsidP="000E1CE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 отбора вправе отозвать поданную заявку со дня подачи заявки до дня</w:t>
            </w:r>
            <w:r w:rsidR="000E1CE9">
              <w:rPr>
                <w:rFonts w:hAnsi="Times New Roman" w:cs="Times New Roman" w:ascii="Times New Roman"/>
                <w:sz w:val="28"/>
                <w:szCs w:val="28"/>
              </w:rPr>
              <w:t xml:space="preserve"> окончания срока приема заявок</w:t>
            </w:r>
          </w:p>
        </w:tc>
      </w:tr>
      <w:tr w:rsidTr="005D5530" w:rsidR="004614D6">
        <w:tc>
          <w:tcPr>
            <w:tcW w:w="567" w:type="dxa"/>
          </w:tcPr>
          <w:p w:rsidRPr="007538E9" w:rsidRDefault="004614D6" w:rsidR="004614D6" w:rsidP="004614D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4614D6" w:rsidR="004614D6" w:rsidP="004614D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4614D6" w:rsidR="004614D6" w:rsidP="000E1CE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4614D6">
        <w:tc>
          <w:tcPr>
            <w:tcW w:w="10490" w:type="dxa"/>
            <w:gridSpan w:val="3"/>
          </w:tcPr>
          <w:p w:rsidRDefault="004614D6" w:rsidR="004614D6" w:rsidP="004614D6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4614D6">
        <w:tc>
          <w:tcPr>
            <w:tcW w:w="567" w:type="dxa"/>
          </w:tcPr>
          <w:p w:rsidRPr="00236B91" w:rsidRDefault="004614D6" w:rsidR="004614D6" w:rsidP="004614D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4614D6" w:rsidR="004614D6" w:rsidP="004614D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FE4C9A" w:rsidR="00FE4C9A" w:rsidP="00FE4C9A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FE4C9A" w:rsidR="00FE4C9A" w:rsidP="00FE4C9A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FE4C9A" w:rsidR="00FE4C9A" w:rsidP="00FE4C9A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FE4C9A" w:rsidR="004614D6" w:rsidP="00FE4C9A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4614D6">
        <w:tc>
          <w:tcPr>
            <w:tcW w:w="567" w:type="dxa"/>
          </w:tcPr>
          <w:p w:rsidRPr="00236B91" w:rsidRDefault="004614D6" w:rsidR="004614D6" w:rsidP="00190105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4614D6" w:rsidR="004614D6" w:rsidP="004614D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4614D6" w:rsidR="004614D6" w:rsidP="004614D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4614D6" w:rsidR="004614D6" w:rsidP="000E1CE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1.</w:t>
            </w:r>
            <w:r w:rsidR="000E1CE9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4614D6" w:rsidR="004614D6" w:rsidP="000E1CE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 w:rsidR="00B2392F">
              <w:rPr>
                <w:rFonts w:hAnsi="Times New Roman" w:cs="Times New Roman" w:ascii="Times New Roman"/>
                <w:sz w:val="28"/>
                <w:szCs w:val="28"/>
              </w:rPr>
              <w:t>, Приказом и (или) О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236B91" w:rsidRDefault="004614D6" w:rsidR="004614D6" w:rsidP="000E1CE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</w:t>
            </w:r>
            <w:r w:rsidR="000E1CE9">
              <w:rPr>
                <w:rFonts w:hAnsi="Times New Roman" w:cs="Times New Roman" w:ascii="Times New Roman"/>
                <w:sz w:val="28"/>
                <w:szCs w:val="28"/>
              </w:rPr>
              <w:t>ых участником отбора документах</w:t>
            </w:r>
          </w:p>
        </w:tc>
      </w:tr>
      <w:tr w:rsidTr="005D5530" w:rsidR="004614D6">
        <w:tc>
          <w:tcPr>
            <w:tcW w:w="567" w:type="dxa"/>
          </w:tcPr>
          <w:p w:rsidRPr="00236B91" w:rsidRDefault="004614D6" w:rsidR="004614D6" w:rsidP="004614D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4614D6" w:rsidR="004614D6" w:rsidP="004614D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4614D6" w:rsidR="004614D6" w:rsidP="000E1CE9">
            <w:pPr>
              <w:ind w:left="-17" w:right="-1" w:firstLine="567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="00FE4C9A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 Приказу</w:t>
            </w:r>
          </w:p>
          <w:p w:rsidRDefault="004614D6" w:rsidR="004614D6" w:rsidP="004614D6">
            <w:pPr>
              <w:ind w:left="-17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4614D6">
        <w:tc>
          <w:tcPr>
            <w:tcW w:w="567" w:type="dxa"/>
          </w:tcPr>
          <w:p w:rsidRPr="00E50F4E" w:rsidRDefault="004614D6" w:rsidR="004614D6" w:rsidP="004614D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E50F4E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E50F4E" w:rsidRDefault="004614D6" w:rsidR="004614D6" w:rsidP="004614D6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50F4E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4614D6" w:rsidR="004614D6" w:rsidP="00305632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в пунктах 1.3 и 1.4  Объявления</w:t>
            </w:r>
          </w:p>
        </w:tc>
      </w:tr>
      <w:tr w:rsidTr="005D5530" w:rsidR="00E50F4E">
        <w:tc>
          <w:tcPr>
            <w:tcW w:w="567" w:type="dxa"/>
          </w:tcPr>
          <w:p w:rsidRPr="00E50F4E" w:rsidRDefault="00E50F4E" w:rsidR="00E50F4E" w:rsidP="00E50F4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135E69" w:rsidRDefault="00E50F4E" w:rsidR="00E50F4E" w:rsidP="00E50F4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EF44AA" w:rsidRDefault="00E50F4E" w:rsidR="00E50F4E" w:rsidP="00E50F4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E50F4E">
        <w:tc>
          <w:tcPr>
            <w:tcW w:w="567" w:type="dxa"/>
          </w:tcPr>
          <w:p w:rsidRPr="00E50F4E" w:rsidRDefault="00E50F4E" w:rsidR="00E50F4E" w:rsidP="00E50F4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 w:rsidRPr="00E50F4E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E50F4E" w:rsidRDefault="00E50F4E" w:rsidR="00E50F4E" w:rsidP="00190105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50F4E">
              <w:rPr>
                <w:rFonts w:hAnsi="Times New Roman" w:cs="Times New Roman" w:ascii="Times New Roman"/>
                <w:sz w:val="28"/>
                <w:szCs w:val="28"/>
              </w:rPr>
              <w:t>Срок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E50F4E" w:rsidR="00E50F4E" w:rsidP="0030563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дней со дня получения соглашения</w:t>
            </w:r>
          </w:p>
        </w:tc>
      </w:tr>
      <w:tr w:rsidTr="005D5530" w:rsidR="00E50F4E">
        <w:tc>
          <w:tcPr>
            <w:tcW w:w="567" w:type="dxa"/>
          </w:tcPr>
          <w:p w:rsidRPr="00E50F4E" w:rsidRDefault="00E50F4E" w:rsidR="00E50F4E" w:rsidP="00E50F4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E50F4E" w:rsidRDefault="00E50F4E" w:rsidR="00E50F4E" w:rsidP="00E50F4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50F4E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="00190105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 субсидии </w:t>
            </w:r>
            <w:r w:rsidRPr="00E50F4E">
              <w:rPr>
                <w:rFonts w:hAnsi="Times New Roman" w:cs="Times New Roman" w:ascii="Times New Roman"/>
                <w:sz w:val="28"/>
                <w:szCs w:val="28"/>
              </w:rPr>
              <w:t xml:space="preserve"> 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E50F4E" w:rsidR="00E50F4E" w:rsidP="00E50F4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соглашения.</w:t>
            </w:r>
          </w:p>
          <w:p w:rsidRDefault="00E50F4E" w:rsidR="00E50F4E" w:rsidP="00305632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Представление получателем субсидии соглашения, направленного Департаментом, с внесенными в него изменениями</w:t>
            </w:r>
          </w:p>
        </w:tc>
      </w:tr>
      <w:tr w:rsidTr="005D5530" w:rsidR="00E50F4E">
        <w:tc>
          <w:tcPr>
            <w:tcW w:w="567" w:type="dxa"/>
          </w:tcPr>
          <w:p w:rsidRPr="00E50F4E" w:rsidRDefault="00E50F4E" w:rsidR="00E50F4E" w:rsidP="00E50F4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E50F4E" w:rsidRDefault="00E50F4E" w:rsidR="00E50F4E" w:rsidP="00E50F4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50F4E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E50F4E" w:rsidR="00E50F4E" w:rsidP="00305632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>омиссией</w:t>
            </w:r>
          </w:p>
        </w:tc>
      </w:tr>
      <w:tr w:rsidTr="005D5530" w:rsidR="00E50F4E">
        <w:tc>
          <w:tcPr>
            <w:tcW w:w="567" w:type="dxa"/>
          </w:tcPr>
          <w:p w:rsidRPr="00E50F4E" w:rsidRDefault="00E50F4E" w:rsidR="00E50F4E" w:rsidP="00E50F4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E50F4E" w:rsidRDefault="00E50F4E" w:rsidR="00E50F4E" w:rsidP="00E50F4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50F4E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E50F4E" w:rsidR="00E50F4E" w:rsidP="00E50F4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E50F4E" w:rsidR="00E50F4E" w:rsidP="00E50F4E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E50F4E" w:rsidR="00E50F4E" w:rsidP="00E50F4E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дней до дня начала приема заявок.</w:t>
            </w:r>
          </w:p>
        </w:tc>
      </w:tr>
      <w:tr w:rsidTr="005D5530" w:rsidR="00E50F4E">
        <w:tc>
          <w:tcPr>
            <w:tcW w:w="567" w:type="dxa"/>
          </w:tcPr>
          <w:p w:rsidRDefault="00E50F4E" w:rsidR="00E50F4E" w:rsidP="00E50F4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E50F4E" w:rsidRDefault="00E50F4E" w:rsidR="00E50F4E" w:rsidP="00E50F4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E50F4E" w:rsidR="00E50F4E" w:rsidP="00E50F4E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E50F4E" w:rsidR="00E50F4E" w:rsidP="00E50F4E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E1CE9"/>
    <w:rsid w:val="000F7338"/>
    <w:rsid w:val="001461D4"/>
    <w:rsid w:val="00181333"/>
    <w:rsid w:val="00190105"/>
    <w:rsid w:val="001A3964"/>
    <w:rsid w:val="001A481B"/>
    <w:rsid w:val="00201F4E"/>
    <w:rsid w:val="002637F3"/>
    <w:rsid w:val="00305632"/>
    <w:rsid w:val="003070B3"/>
    <w:rsid w:val="004614D6"/>
    <w:rsid w:val="004B3140"/>
    <w:rsid w:val="00571D9A"/>
    <w:rsid w:val="005A2297"/>
    <w:rsid w:val="007817C9"/>
    <w:rsid w:val="0079579D"/>
    <w:rsid w:val="008825BF"/>
    <w:rsid w:val="009B131B"/>
    <w:rsid w:val="009B78DE"/>
    <w:rsid w:val="009E3366"/>
    <w:rsid w:val="00A0046E"/>
    <w:rsid w:val="00A247B6"/>
    <w:rsid w:val="00A32075"/>
    <w:rsid w:val="00A36B99"/>
    <w:rsid w:val="00A832A7"/>
    <w:rsid w:val="00B2392F"/>
    <w:rsid w:val="00B26C77"/>
    <w:rsid w:val="00C46E09"/>
    <w:rsid w:val="00C6684B"/>
    <w:rsid w:val="00C70DC0"/>
    <w:rsid w:val="00D010A2"/>
    <w:rsid w:val="00D25C02"/>
    <w:rsid w:val="00E42BD9"/>
    <w:rsid w:val="00E50F4E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B652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2026-04-02T15:39:00Z</dcterms:created>
  <dcterms:modified xsi:type="dcterms:W3CDTF">2026-04-03T09:12:00Z</dcterms:modified>
</cp:coreProperties>
</file>