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BF" w:rsidRPr="009067B1" w:rsidRDefault="007050BF" w:rsidP="007050B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ДЕПАРТАМЕНТ ТРУДА И СОЦИАЛЬНОЙ ЗАЩИТЫ НАСЕЛЕНИЯ </w:t>
      </w:r>
    </w:p>
    <w:p w:rsidR="007050BF" w:rsidRPr="009067B1" w:rsidRDefault="007050BF" w:rsidP="007050B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ГОРОДА МОСКВЫ </w:t>
      </w:r>
    </w:p>
    <w:p w:rsidR="007050BF" w:rsidRPr="009067B1" w:rsidRDefault="007050BF" w:rsidP="007050BF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ПРИКАЗ </w:t>
      </w:r>
    </w:p>
    <w:p w:rsidR="007050BF" w:rsidRPr="009067B1" w:rsidRDefault="007050BF" w:rsidP="007050B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20 февраля 2024 г. </w:t>
      </w:r>
      <w:r w:rsidR="007B05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91 </w:t>
      </w:r>
    </w:p>
    <w:p w:rsidR="007050BF" w:rsidRPr="009067B1" w:rsidRDefault="007050BF" w:rsidP="007050BF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ФОРМЫ РЕГИОНАЛЬНОЙ СТАТИСТИЧЕСКОЙ ОТЧЕТНОСТИ </w:t>
      </w:r>
    </w:p>
    <w:p w:rsidR="007050BF" w:rsidRPr="009067B1" w:rsidRDefault="007050BF" w:rsidP="007050B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ОБЛАСТИ КВОТИРОВАНИЯ РАБОЧИХ МЕСТ ДЛЯ ИНВАЛИДОВ И МОЛОДЕЖИ </w:t>
      </w:r>
    </w:p>
    <w:p w:rsidR="007050BF" w:rsidRPr="009067B1" w:rsidRDefault="007050BF" w:rsidP="007050BF">
      <w:pPr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050BF" w:rsidRPr="009067B1" w:rsidRDefault="007050BF" w:rsidP="007050BF">
      <w:pPr>
        <w:spacing w:after="0" w:line="288" w:lineRule="atLeast"/>
        <w:jc w:val="center"/>
        <w:rPr>
          <w:rFonts w:ascii="Arial" w:eastAsia="Times New Roman" w:hAnsi="Arial" w:cs="Arial"/>
          <w:color w:val="392C69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color w:val="392C69"/>
          <w:sz w:val="24"/>
          <w:szCs w:val="24"/>
          <w:lang w:eastAsia="ru-RU"/>
        </w:rPr>
        <w:t xml:space="preserve">(в ред. приказа ДТСЗН г. Москвы от 21.08.2024 </w:t>
      </w:r>
      <w:r w:rsidR="007B0560">
        <w:rPr>
          <w:rFonts w:ascii="Arial" w:eastAsia="Times New Roman" w:hAnsi="Arial" w:cs="Arial"/>
          <w:color w:val="392C69"/>
          <w:sz w:val="24"/>
          <w:szCs w:val="24"/>
          <w:lang w:eastAsia="ru-RU"/>
        </w:rPr>
        <w:t>№</w:t>
      </w:r>
      <w:r w:rsidRPr="009067B1">
        <w:rPr>
          <w:rFonts w:ascii="Arial" w:eastAsia="Times New Roman" w:hAnsi="Arial" w:cs="Arial"/>
          <w:color w:val="392C69"/>
          <w:sz w:val="24"/>
          <w:szCs w:val="24"/>
          <w:lang w:eastAsia="ru-RU"/>
        </w:rPr>
        <w:t xml:space="preserve"> 688)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50BF" w:rsidRPr="009067B1" w:rsidRDefault="007050BF" w:rsidP="007050BF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Правительства Москвы от 4 августа 2009 г.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742-ПП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квотировании рабочих мест в городе Москве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приказываю: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Утвердить: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1.1. Форму регионального государственного статистического наблюдения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1-квотирование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Сведения о выполнении установленной квоты для приема на работу молодежи и движении денежных средств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1).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1.2. Указания по заполнению формы регионального государственного статистического наблюдения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1-квотирование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Сведения о выполнении установленной квоты для приема на работу молодежи и движении денежных средств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2).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2. Государственному казенному учреждению города Москвы Центру занятости населения города Москвы (Тарасов А.А.) обеспечить внесение необходимых изменений в программный комплекс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Катарсис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3. Признать утратившим силу приказ Департамента труда и социальной защиты населения города Москвы от 14 декабря 2017 г.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1532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Об утверждении формы региональной статистической отчетности в области квотирования рабочих мест для инвалидов и молодежи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Настоящий приказ вступает в силу с 1 апреля 2024 г.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5. Контроль за исполнением приказа возложить на первого заместителя руководителя Департамента Александрову А.Б.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28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Департамента </w:t>
      </w:r>
    </w:p>
    <w:p w:rsidR="007050BF" w:rsidRPr="009067B1" w:rsidRDefault="007050BF" w:rsidP="007050BF">
      <w:pPr>
        <w:spacing w:after="0" w:line="28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Е.П. </w:t>
      </w:r>
      <w:proofErr w:type="spellStart"/>
      <w:r w:rsidRPr="009067B1">
        <w:rPr>
          <w:rFonts w:ascii="Arial" w:eastAsia="Times New Roman" w:hAnsi="Arial" w:cs="Arial"/>
          <w:sz w:val="24"/>
          <w:szCs w:val="24"/>
          <w:lang w:eastAsia="ru-RU"/>
        </w:rPr>
        <w:t>Стружак</w:t>
      </w:r>
      <w:proofErr w:type="spellEnd"/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7B0560" w:rsidRDefault="007050BF" w:rsidP="007050BF">
      <w:pPr>
        <w:spacing w:after="0" w:line="28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05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7050BF" w:rsidRPr="007B0560" w:rsidRDefault="007050BF" w:rsidP="007050BF">
      <w:pPr>
        <w:spacing w:after="0" w:line="28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0560">
        <w:rPr>
          <w:rFonts w:ascii="Arial" w:eastAsia="Times New Roman" w:hAnsi="Arial" w:cs="Arial"/>
          <w:sz w:val="24"/>
          <w:szCs w:val="24"/>
          <w:lang w:eastAsia="ru-RU"/>
        </w:rPr>
        <w:t xml:space="preserve">к приказу Департамента </w:t>
      </w:r>
    </w:p>
    <w:p w:rsidR="007050BF" w:rsidRPr="007B0560" w:rsidRDefault="007050BF" w:rsidP="007050BF">
      <w:pPr>
        <w:spacing w:after="0" w:line="28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0560">
        <w:rPr>
          <w:rFonts w:ascii="Arial" w:eastAsia="Times New Roman" w:hAnsi="Arial" w:cs="Arial"/>
          <w:sz w:val="24"/>
          <w:szCs w:val="24"/>
          <w:lang w:eastAsia="ru-RU"/>
        </w:rPr>
        <w:t xml:space="preserve">труда и социальной защиты </w:t>
      </w:r>
    </w:p>
    <w:p w:rsidR="007050BF" w:rsidRPr="007B0560" w:rsidRDefault="007050BF" w:rsidP="007050BF">
      <w:pPr>
        <w:spacing w:after="0" w:line="28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0560">
        <w:rPr>
          <w:rFonts w:ascii="Arial" w:eastAsia="Times New Roman" w:hAnsi="Arial" w:cs="Arial"/>
          <w:sz w:val="24"/>
          <w:szCs w:val="24"/>
          <w:lang w:eastAsia="ru-RU"/>
        </w:rPr>
        <w:t xml:space="preserve">населения города Москвы </w:t>
      </w:r>
    </w:p>
    <w:p w:rsidR="007050BF" w:rsidRPr="007B0560" w:rsidRDefault="007050BF" w:rsidP="007050BF">
      <w:pPr>
        <w:spacing w:after="0" w:line="28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0560">
        <w:rPr>
          <w:rFonts w:ascii="Arial" w:eastAsia="Times New Roman" w:hAnsi="Arial" w:cs="Arial"/>
          <w:sz w:val="24"/>
          <w:szCs w:val="24"/>
          <w:lang w:eastAsia="ru-RU"/>
        </w:rPr>
        <w:t xml:space="preserve">от 20 февраля 2024 г. </w:t>
      </w:r>
      <w:r w:rsidR="007B0560" w:rsidRPr="007B05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7B0560">
        <w:rPr>
          <w:rFonts w:ascii="Arial" w:eastAsia="Times New Roman" w:hAnsi="Arial" w:cs="Arial"/>
          <w:sz w:val="24"/>
          <w:szCs w:val="24"/>
          <w:lang w:eastAsia="ru-RU"/>
        </w:rPr>
        <w:t xml:space="preserve"> 91 </w:t>
      </w:r>
    </w:p>
    <w:p w:rsidR="007050BF" w:rsidRPr="007B0560" w:rsidRDefault="007050BF" w:rsidP="007050BF">
      <w:pPr>
        <w:spacing w:after="0" w:line="288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>│         РЕГИОНАЛЬНОЕ ГОСУДАРСТВЕННОЕ СТАТИСТИЧЕСКОЕ НАБЛЮДЕНИЕ          │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>│         КОНФИДЕНЦИАЛЬНОСТЬ ГАРАНТИРУЕТСЯ ПОЛУЧАТЕЛЕМ ИНФОРМАЦИИ         │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┌───────────────────────────┐                         ┌─┬─┬─┬─┬─┬─┬─┬─┬─┬─┐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>│Наименование отчитывающейся│                     ИНН │ │ │ │ │ │ │ │ │ │ │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>│организации                │                         └─┴─┴─┴─┴─┴─┴─┴─┴─┴─┘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├───────────────────────────┤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>│Почтовый адрес             │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├───────────────────────────┤                         ┌─┬─┬─┬─┬─┬─┬─┐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  │     Рег. </w:t>
      </w:r>
      <w:r w:rsidR="007B0560"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>, присвоенный │ │ │ │ │ │ │ │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└───────────────────────────┘     в ГКУ ЦЗН           └─┴─┴─┴─┴─┴─┴─┘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Сведения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выполнении установленной квоты для приема на работу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молодежи и движении денежных средств за ___ квартал 20__ года</w:t>
      </w:r>
    </w:p>
    <w:p w:rsidR="007050BF" w:rsidRPr="007B0560" w:rsidRDefault="007050BF" w:rsidP="007050BF">
      <w:pPr>
        <w:spacing w:after="0" w:line="288" w:lineRule="atLeas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05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2190"/>
        <w:gridCol w:w="64"/>
        <w:gridCol w:w="1449"/>
      </w:tblGrid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Представляют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Срок представления: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Форма </w:t>
            </w:r>
            <w:r w:rsidR="007B0560"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1-квотирование </w:t>
            </w:r>
          </w:p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Квартальная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Работодатели (представительства, филиалы, обособленные подразделения), зарегистрированные и осуществляющие деятельность на территории города Москвы, в Государственное казенное учреждение города Москвы Центр занятости населения города Москвы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позднее 30 числа месяца, следующего за отчетным кварталом 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7050BF" w:rsidRPr="007B0560" w:rsidRDefault="007050BF" w:rsidP="007050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0BF" w:rsidRPr="007B0560" w:rsidRDefault="007050BF" w:rsidP="007050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050BF" w:rsidRPr="007B0560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2380"/>
        <w:gridCol w:w="3578"/>
      </w:tblGrid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отчитывающейся организации 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вида деятельности по ОКВЭД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основного вида деятельности по ОКВЭД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:rsidR="007050BF" w:rsidRPr="007B0560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6948"/>
        <w:gridCol w:w="1328"/>
      </w:tblGrid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B0560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7050BF"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Всего, человек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7050BF" w:rsidRPr="007B0560" w:rsidTr="007050B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I. Сведения о трудоустройстве молодежи в счет установленной квоты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Среднесписочная численность работников за 4 кв. предыдущего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Среднесписочная численность работников за текущий год: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1-й месяц текущего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2-й месяц текущего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3-й месяц текущего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4-й месяц текущего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5-й месяц текущего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6-й месяц текущего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7-й месяц текущего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8-й месяц текущего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9-й месяц текущего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10-й месяц текущего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11-й месяц текущего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12-й месяц текущего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Размер установленной квоты для приема на работу молодежи, чел.: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1-й месяц отчетного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2-й месяц отчетного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3-й месяц отчетного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Работало молодежи в счет установленной квоты, чел.: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1-м месяце отчетного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2-м месяце отчетного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3-м месяце отчетного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Работало инвалидов сверх установленной квоты, чел.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1-м месяце отчетного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2-м месяце отчетного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3-м месяце отчетного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квот, за которые должна быть уплачена компенсационная стоимость: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1-м месяце отчетного квартала (стр. 14 - стр. 17 - стр. 20)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2-м месяце отчетного квартала (стр. 15 - стр. 18 - стр. 21)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3-м месяце отчетного квартала (стр. 16 - стр. 19 - стр. 22)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:rsidR="007050BF" w:rsidRPr="007B0560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p w:rsidR="007050BF" w:rsidRPr="007B0560" w:rsidRDefault="007050BF" w:rsidP="007050BF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Справка 1: Работает молодежи сверх установленной квоты на конец отчетного квартала, ____ чел. </w:t>
      </w:r>
    </w:p>
    <w:p w:rsidR="007050BF" w:rsidRPr="007B0560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Справка 2: из стр. 19 численность работающих граждан из числа молодежи: </w:t>
      </w:r>
    </w:p>
    <w:p w:rsidR="007050BF" w:rsidRPr="007B0560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1. Несовершеннолетние в возрасте от 14 до 18 лет, ____ чел. </w:t>
      </w:r>
    </w:p>
    <w:p w:rsidR="007050BF" w:rsidRPr="007B0560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2. Лица из числа детей-сирот и детей, оставшихся без попечения родителей, в возрасте до 23 лет, ____ чел. </w:t>
      </w:r>
    </w:p>
    <w:p w:rsidR="007050BF" w:rsidRPr="007B0560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3. Граждане в возрасте от 18 до 24 лет из числа выпускников учреждений начального и среднего профессионального образования, ищущих работу впервые, ____ чел. </w:t>
      </w:r>
    </w:p>
    <w:p w:rsidR="007050BF" w:rsidRPr="007B0560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4. Граждане в возрасте от 21 до 26 лет из числа выпускников учреждений высшего профессионального образования, ищущих работу впервые, ____ чел. </w:t>
      </w:r>
    </w:p>
    <w:p w:rsidR="007050BF" w:rsidRPr="007B0560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tbl>
      <w:tblPr>
        <w:tblW w:w="90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4280"/>
        <w:gridCol w:w="2148"/>
        <w:gridCol w:w="1961"/>
      </w:tblGrid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B0560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7050BF"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Размер невыполненной квоты, мест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в рублях (с точностью до копеек) </w:t>
            </w:r>
          </w:p>
        </w:tc>
      </w:tr>
      <w:tr w:rsidR="007050BF" w:rsidRPr="007B0560" w:rsidTr="007050B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II. Движение денежных средств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Остаток неуплаты на начало отчетного квартала за плательщиком,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не подлежит индексации по величине прожиточного минимума на начало отчетного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Перечислено в счет будущих платежей на начало отчетного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начисленной компенсационной стоимости за отчетный квартал, всего: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 1-й месяц отчетного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 2-й месяц отчетного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 3-й месяц отчетного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Доплачиваемая сумма компенсационной стоимости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причитается к платежу (стр. 26 - стр. 28 + стр. 29 + стр. 33)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Перечислено в отчетном квартале,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Остаток неуплаты на конец отчетного квартала за плательщиком, всего (стр. 34 - стр. 35)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ind w:left="28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не подлежит индексации по величине прожиточного минимума на конец отчетного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Перечислено в счет будущих платежей на конец отчетного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:rsidR="007050BF" w:rsidRPr="007B0560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p w:rsidR="007050BF" w:rsidRPr="007B0560" w:rsidRDefault="007050BF" w:rsidP="007050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III. Перечислено в отчетном квартале </w:t>
      </w:r>
    </w:p>
    <w:p w:rsidR="007050BF" w:rsidRPr="007B0560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1302"/>
        <w:gridCol w:w="1841"/>
        <w:gridCol w:w="1302"/>
        <w:gridCol w:w="804"/>
        <w:gridCol w:w="1450"/>
      </w:tblGrid>
      <w:tr w:rsidR="007050BF" w:rsidRPr="007B0560" w:rsidTr="007050BF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Пл. пор. </w:t>
            </w:r>
            <w:r w:rsidR="007B0560"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______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______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______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_____ года </w:t>
            </w:r>
          </w:p>
        </w:tc>
      </w:tr>
      <w:tr w:rsidR="007050BF" w:rsidRPr="007B0560" w:rsidTr="007050BF"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Пл. пор. </w:t>
            </w:r>
            <w:r w:rsidR="007B0560"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 </w:t>
            </w:r>
          </w:p>
        </w:tc>
        <w:tc>
          <w:tcPr>
            <w:tcW w:w="0" w:type="auto"/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______ </w:t>
            </w:r>
          </w:p>
        </w:tc>
        <w:tc>
          <w:tcPr>
            <w:tcW w:w="0" w:type="auto"/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______ </w:t>
            </w:r>
          </w:p>
        </w:tc>
        <w:tc>
          <w:tcPr>
            <w:tcW w:w="0" w:type="auto"/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______ </w:t>
            </w:r>
          </w:p>
        </w:tc>
        <w:tc>
          <w:tcPr>
            <w:tcW w:w="0" w:type="auto"/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_____ года </w:t>
            </w:r>
          </w:p>
        </w:tc>
      </w:tr>
      <w:tr w:rsidR="007050BF" w:rsidRPr="007B0560" w:rsidTr="007050BF"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Пл. пор. </w:t>
            </w:r>
            <w:r w:rsidR="007B0560"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______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______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______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0BF" w:rsidRPr="007B0560" w:rsidRDefault="007050BF" w:rsidP="007050BF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0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_____ года </w:t>
            </w:r>
          </w:p>
        </w:tc>
      </w:tr>
    </w:tbl>
    <w:p w:rsidR="007050BF" w:rsidRPr="007B0560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>Отчет подготовил      _____________________ ___________________________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(должность)               (Ф.И.О.)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тел.: _____________________ e-</w:t>
      </w:r>
      <w:proofErr w:type="spellStart"/>
      <w:r w:rsidRPr="007B0560">
        <w:rPr>
          <w:rFonts w:ascii="Arial" w:eastAsia="Times New Roman" w:hAnsi="Arial" w:cs="Arial"/>
          <w:sz w:val="20"/>
          <w:szCs w:val="20"/>
          <w:lang w:eastAsia="ru-RU"/>
        </w:rPr>
        <w:t>mail</w:t>
      </w:r>
      <w:proofErr w:type="spellEnd"/>
      <w:r w:rsidRPr="007B0560">
        <w:rPr>
          <w:rFonts w:ascii="Arial" w:eastAsia="Times New Roman" w:hAnsi="Arial" w:cs="Arial"/>
          <w:sz w:val="20"/>
          <w:szCs w:val="20"/>
          <w:lang w:eastAsia="ru-RU"/>
        </w:rPr>
        <w:t>: ___________________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>Руководитель          _____________________ ___________________________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(подпись)              (расшифровка)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М.П.</w:t>
      </w:r>
    </w:p>
    <w:p w:rsidR="007050BF" w:rsidRPr="007B0560" w:rsidRDefault="007050BF" w:rsidP="0070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</w:t>
      </w:r>
      <w:r w:rsidR="007B0560" w:rsidRPr="007B0560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7B0560">
        <w:rPr>
          <w:rFonts w:ascii="Arial" w:eastAsia="Times New Roman" w:hAnsi="Arial" w:cs="Arial"/>
          <w:sz w:val="20"/>
          <w:szCs w:val="20"/>
          <w:lang w:eastAsia="ru-RU"/>
        </w:rPr>
        <w:t>___</w:t>
      </w:r>
      <w:r w:rsidR="007B0560" w:rsidRPr="007B0560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 ____________ 20__ г.</w:t>
      </w:r>
    </w:p>
    <w:p w:rsidR="007050BF" w:rsidRPr="007B0560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0560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28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</w:t>
      </w:r>
    </w:p>
    <w:p w:rsidR="007050BF" w:rsidRPr="009067B1" w:rsidRDefault="007050BF" w:rsidP="007050BF">
      <w:pPr>
        <w:spacing w:after="0" w:line="28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к приказу Департамента </w:t>
      </w:r>
    </w:p>
    <w:p w:rsidR="007050BF" w:rsidRPr="009067B1" w:rsidRDefault="007050BF" w:rsidP="007050BF">
      <w:pPr>
        <w:spacing w:after="0" w:line="28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труда и социальной защиты </w:t>
      </w:r>
    </w:p>
    <w:p w:rsidR="007050BF" w:rsidRPr="009067B1" w:rsidRDefault="007050BF" w:rsidP="007050BF">
      <w:pPr>
        <w:spacing w:after="0" w:line="28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населения города Москвы </w:t>
      </w:r>
    </w:p>
    <w:p w:rsidR="007050BF" w:rsidRPr="009067B1" w:rsidRDefault="007050BF" w:rsidP="007050BF">
      <w:pPr>
        <w:spacing w:after="0" w:line="28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от 20 февраля 2024 г.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91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УКАЗАНИЯ </w:t>
      </w:r>
    </w:p>
    <w:p w:rsidR="007050BF" w:rsidRPr="009067B1" w:rsidRDefault="007050BF" w:rsidP="007050B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ЗАПОЛНЕНИЮ ФОРМЫ РЕГИОНАЛЬНОГО ГОСУДАРСТВЕННОГО </w:t>
      </w:r>
    </w:p>
    <w:p w:rsidR="007050BF" w:rsidRPr="009067B1" w:rsidRDefault="007050BF" w:rsidP="007050B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СТАТИСТИЧЕСКОГО НАБЛЮДЕНИЯ </w:t>
      </w:r>
      <w:r w:rsidR="007B05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1-КВОТИРОВАНИЕ </w:t>
      </w:r>
      <w:r w:rsidR="007B05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СВЕДЕНИЯ </w:t>
      </w:r>
    </w:p>
    <w:p w:rsidR="007050BF" w:rsidRPr="009067B1" w:rsidRDefault="007050BF" w:rsidP="007050B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ВЫПОЛНЕНИИ УСТАНОВЛЕННОЙ КВОТЫ ДЛЯ ПРИЕМА НА РАБОТУ </w:t>
      </w:r>
    </w:p>
    <w:p w:rsidR="007050BF" w:rsidRPr="009067B1" w:rsidRDefault="007050BF" w:rsidP="007050BF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МОЛОДЕЖИ И ДВИЖЕНИИ ДЕНЕЖНЫХ СРЕДСТВ</w:t>
      </w:r>
      <w:r w:rsidR="007B05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7050BF" w:rsidRPr="009067B1" w:rsidRDefault="007050BF" w:rsidP="007050BF">
      <w:pPr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050BF" w:rsidRPr="009067B1" w:rsidRDefault="007050BF" w:rsidP="007050BF">
      <w:pPr>
        <w:spacing w:after="0" w:line="288" w:lineRule="atLeast"/>
        <w:jc w:val="center"/>
        <w:rPr>
          <w:rFonts w:ascii="Arial" w:eastAsia="Times New Roman" w:hAnsi="Arial" w:cs="Arial"/>
          <w:color w:val="392C69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color w:val="392C69"/>
          <w:sz w:val="24"/>
          <w:szCs w:val="24"/>
          <w:lang w:eastAsia="ru-RU"/>
        </w:rPr>
        <w:t xml:space="preserve">(в ред. приказа ДТСЗН г. Москвы от 21.08.2024 </w:t>
      </w:r>
      <w:r w:rsidR="007B0560">
        <w:rPr>
          <w:rFonts w:ascii="Arial" w:eastAsia="Times New Roman" w:hAnsi="Arial" w:cs="Arial"/>
          <w:color w:val="392C69"/>
          <w:sz w:val="24"/>
          <w:szCs w:val="24"/>
          <w:lang w:eastAsia="ru-RU"/>
        </w:rPr>
        <w:t>№</w:t>
      </w:r>
      <w:r w:rsidRPr="009067B1">
        <w:rPr>
          <w:rFonts w:ascii="Arial" w:eastAsia="Times New Roman" w:hAnsi="Arial" w:cs="Arial"/>
          <w:color w:val="392C69"/>
          <w:sz w:val="24"/>
          <w:szCs w:val="24"/>
          <w:lang w:eastAsia="ru-RU"/>
        </w:rPr>
        <w:t xml:space="preserve"> 688)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  </w:t>
      </w:r>
    </w:p>
    <w:p w:rsidR="007050BF" w:rsidRPr="009067B1" w:rsidRDefault="007050BF" w:rsidP="007050BF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1. Сведения по форме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1-квотирование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Сведения о выполнении установленной квоты для приема на работу молодежи и движении денежных средств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Форма) в соответствии с Законом города Москвы от 22 декабря 2004 г.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90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О квотировании рабочих мест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Закон о квотировании) и Положением о квотировании рабочих мест в городе Москве, утвержденным постановлением Правительства Москвы от 4 августа 2009 г.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742-ПП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квотировании рабочих мест в городе Москве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Положение о квотировании), представляют все работодатели, зарегистрированные и осуществляющие деятельность на территории города Москвы, у которых среднесписочная численность работников хотя бы за один месяц отчетного или предыдущего периода составляла более 100 чел.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2. Работодатели обязаны представлять Форму ежеквартально не позднее 30 числа месяца, следующего за отчетным кварталом, в Государственное казенное учреждение города Москвы Центр занятости населения города Москвы (далее - ГКУ ЦЗН) посредством сайта ГКУ ЦЗН (https://czn.mos.ru/).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3. В адресной части Формы указываются официальное наименование отчитывающейся организации, ее почтовый адрес, индивидуальный номер налогоплательщика (ИНН), регистрационный номер, полученный в ГКУ ЦЗН (из извещения работодателю о регистрации), присвоенные коды Общероссийского классификатора предприятий и организаций (ОКПО) и Общероссийского классификатора видов экономической деятельности (ОКВЭД), наименование основного вида деятельности по ОКВЭД.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Данные в Форме отражаются за отчетный квартал текущего года (в том числе в разделе I и по месяцам). Каждая </w:t>
      </w:r>
      <w:proofErr w:type="spellStart"/>
      <w:r w:rsidRPr="009067B1">
        <w:rPr>
          <w:rFonts w:ascii="Arial" w:eastAsia="Times New Roman" w:hAnsi="Arial" w:cs="Arial"/>
          <w:sz w:val="24"/>
          <w:szCs w:val="24"/>
          <w:lang w:eastAsia="ru-RU"/>
        </w:rPr>
        <w:t>строкографа</w:t>
      </w:r>
      <w:proofErr w:type="spellEnd"/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должна содержать информацию (не быть пустой), при отсутствии данных ставится значение ноль.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4. В конце заполненной Формы указывается должность, фамилия, имя, отчество, контактный телефон и адрес электронной почты специалиста, который составил Форму.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Заполненная Форма подписывается квалифицированной электронной подписью руководителя.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Непредставление, несвоевременное представление указанных сведений, а также представление их в неполном объеме или в искаженном виде влечет ответственность, предусмотренную статьей 19.7 Кодекса Российской Федерации об административных правонарушениях.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Форма, заполненная с нарушением настоящих Указаний, не принимается и возвращается работодателю на доработку.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4.1. В случае обнаружения ошибок в сведениях, представленных за предыдущий квартал, работодатель имеет право до окончания отчетного периода за следующий отчетный квартал (не позднее 30 числа месяца, следующего за отчетным кварталом) внести необходимые уточнения и повторно представить Форму без представления подтверждающих документов.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представления работодателями сведений о выполнении установленной квоты и движении денежных средств, а также порядок их приема и 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корректировки (при необходимости) устанавливается Государственным казенным учреждением города Москвы Центром занятости населения города Москвы.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Сведения о трудоустройстве молодежи в счет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050BF" w:rsidRPr="009067B1" w:rsidRDefault="007050BF" w:rsidP="007050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установленной квоты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5. В строке 01 указывается среднесписочная численность работников за IV квартал предыдущего года, которая определяется путем суммирования среднесписочной численности работников за октябрь, ноябрь, декабрь и деления полученной суммы на три.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Данные в строках 02 - 13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Среднесписочная численность работников за текущий год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формируются в целом по организации. Если имеются представительства, филиалы, обособленные подразделения, зарегистрированные в установленном законодательством порядке на территории города Москвы, то данные по ним приводятся суммарно. В среднесписочную численность работников для расчета квоты не входят работники филиалов, представительств и обособленных подразделений, расположенных в других субъектах Российской Федерации. Среднесписочная численность работников в текущем месяце исчисляется в порядке, определенном Федеральной службой государственной статистики.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6. В строках 14 - 16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Размер установленной квоты для приема на работу молодежи, чел.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указывается размер квоты для приема на работу молодежи. Размер квоты составляет 2% от среднесписочной численности работников за 4 квартал предыдущего года, указанной в стр. 01. Квотируемые категории молодежи: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- несовершеннолетние в возрасте от 14 до 18 лет;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- лица из числа детей-сирот и детей, оставшихся без попечения родителей, в возрасте до 23 лет;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- выпускники учреждений начального и среднего профессионального образования в возрасте от 18 до 24 лет и высшего профессионального образования в возрасте от 21 года до 26 лет, ищущие работу впервые.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Квота для приема на работу молодежи рассчитывается работодателем ежегодно, до 1 февраля, исходя из среднесписочной численности работников за IV квартал предыдущего года.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Квота подлежит перерасчету в случае уменьшения среднесписочной численности работников за прошедший месяц. Перерасчет квоты осуществляется работодателем с первого числа месяца, следующего за месяцем, в котором произошло изменение среднесписочной численности работников. В месяц возникновения у работодателя права на перерасчет квоты в строках 14 - 16 рассчитываются, исходя из наименьшего значения, указанного в строках 01 - 13.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7. В строках 17 - 19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Работало молодежи в счет установленной квоты, чел.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отражается численность трудоустроенной молодежи, подтвержденная заключением трудового договора, действие которого в текущем месяце составило не менее 15 дней. В эту численность могут включаться и граждане квотируемой категории, принятые на работу до принятия Закона о квотировании. В количестве работающих на квотируемых рабочих местах по строкам 17 - 19 учитываются 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также и граждане, уволившиеся до конца месяца отчетного квартала, но проработавшие на квотируемом рабочем месте не менее 15 дней этого месяца.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Данные строк 17 - 19 формируются в пределах установленного размера квоты и не могут превышать значения, указанные в строках 14 - 16.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8. В строках 20 - 22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Работало инвалидов сверх установленной квоты, чел.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указывается количество инвалидов, работающих сверх установленной квоты для приема на работу инвалидов. Указанные данные должны соответствовать данным поля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Численность инвалидов, работающих сверх установленной квоты на конец отчетного периода, чел.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информации о выполнении квоты для приема на работу инвалидов, размещенной работодателем на единой цифровой платформе в сфере занятости и трудовых отношений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Работа в России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Портал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Работа в России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) в соответствующем месяце отчетного периода. В случае отсутствия размещенной информации о выполнении квоты для приема на работу инвалидов на Портале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Работа в России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в строках 20 - 22 указывается значение ноль.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9. В строках 23 - 25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Количество квот, за которые должна быть уплачена компенсационная стоимость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указывается количество граждан, не трудоустроенных работодателем в счет установленной квоты для приема на работу молодежи.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Компенсационная стоимость квотируемого рабочего места равна размеру прожиточного минимума для трудоспособного населения, определенного в городе Москве на день ее уплаты. Работодатели ежемесячно перечисляют в бюджет города Москвы компенсационную стоимость квотируемого рабочего места в период с 1 до 15 числа месяца, следующего за месяцем, за который производится уплата.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Данные стр. 23 = стр. 14 - стр. 17 - стр. 20.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Данные стр. 24 = стр. 15 - стр. 18 - стр. 21.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Данные стр. 25 = стр. 16 - стр. 19 - стр. 22.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при расчете показателя получается отрицательное значение, в строке указывается значение ноль.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10. В справке 1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Работает молодежи сверх установленной квоты на конец отчетного квартала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указывается численность трудоустроенной молодежи без учтенных в строках 17 - 19 (при наличии).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11. В справке 2 отражаются сведения о количестве трудоустроенной в счет квоты молодежи, учтенной в строке 19 (при наличии):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в пункте 1 - несовершеннолетние в возрасте от 14 до 18 лет, чел.;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в пункте 2 - лица из числа детей-сирот и детей, оставшихся без попечения родителей, в возрасте до 23 лет, чел.;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в пункте 3 - граждане в возрасте от 18 до 24 лет из числа выпускников учреждений начального и среднего профессионального образования, ищущих работу впервые, чел.;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пункте 4 - граждане в возрасте от 21 до 26 лет из числа выпускников учреждений высшего профессионального образования, ищущих работу впервые, чел.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Сумма значений, указанных в пунктах 1 - 4, должна быть равна значению, указанному по строке 19.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Движение денежных средств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12. В строке 26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Остаток неуплаты на начало отчетного квартала за плательщиком, всего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в графе 3 указывается общее количество незанятых квотируемых мест, за которые на начало отчетного квартала не перечислена в бюджет города Москвы компенсационная стоимость, а в графе 4 - оставшаяся к перечислению на расчетный счет по квотированию сумма компенсационной стоимости. Из общей суммы, указанной в строке 26, дополнительно выделяются: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в строке 27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Не подлежит индексации по величине прожиточного минимума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- сумма не индексируемых по прожиточному минимуму платежей, начисленных до 01.01.2005.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Значение строки 27 не может быть больше значения строки 26. Если на начало отчетного квартала работодателем перечислена вся сумма компенсационной стоимости, то в строках 26 и 27 устанавливается значение ноль. Если в результате перечисления образовалась переплата, которая засчитывается в счет будущих платежей, то эта сумма указывается в строке 28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Перечислено в счет будущих платежей на начало отчетного квартала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. Не допускается одновременное указание значений в строках 26 и 28.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Данные строки 26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Остаток неуплаты на начало отчетного квартала за плательщиком, всего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переносятся и равны данным строки 36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Остаток неуплаты на конец отчетного квартала за плательщиком, всего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Формы за предыдущий квартал или за последний квартал, принятой и введенной в информационно-аналитическую систему данных ГКУ ЦЗН.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Данные строки 27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Не подлежит индексации по величине прожиточного минимума на начало отчетного квартала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переносятся и равны данным строки 37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Не подлежит индексации по величине прожиточного минимума на конец отчетного квартала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Формы за предыдущий квартал или за последний квартал, принятой и введенной в информационно-аналитическую систему данных ГКУ ЦЗН.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Данные строки 28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Перечислено в счет будущих платежей на начало отчетного квартала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переносятся и равны данным строки 38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Перечислено в счет будущих платежей на конец отчетного квартала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Формы за предыдущий квартал или за последний квартал, принятой и введенной в информационно-аналитическую систему данных ГКУ ЦЗН.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13. Строка 29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Сумма начисленной компенсационной стоимости за отчетный квартал, всего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равна сумме строк 30 - 32.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В строки 30 - 32 графы 3 переносятся данные, указанные в строках 23 - 25.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В графе 4 строк 30 - 32 указываются суммы начисленной компенсационной стоимости за не трудоустроенных на квотируемые рабочие места для молодежи 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(компенсационная стоимость рабочего места, установленная на первое число месяца, следующего за отчетным, умноженная на размер невыполненных квот, указанный в графе 3 соответствующей строки).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14. В строке 33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Доплачиваемая сумма компенсационной стоимости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указываются данные по количеству квотируемых рабочих мест, за которые должна быть внесена пересчитанная сумма (графа 3), и дополнительные суммы компенсационной стоимости (графа 4), пересчитанные в связи с изменениями прожиточного минимума для трудоспособного населения.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15. Строка 34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Всего причитается к платежу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следующим образом: стр. 34 = стр. 26 - стр. 28 + стр. 29 + стр. 33.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16. В строке 35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Перечислено в отчетном квартале, всего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в графе 3 указывается количество квот, оплаченных в течение отчетного квартала, а в графе 4 - общая сумма всех платежей, перечисленных за отчетный квартал.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17. В строках 36 - 38 отражаются результаты движения денежных средств в отчетном квартале.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В строке 36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Остаток неуплаты на конец отчетного квартала за плательщиком, всего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в графе 3 указывается количество незанятых квотируемых мест для молодежи, за которые на конец отчетного квартала не перечислена компенсационная стоимость, а в графе 4 - подлежащая перечислению общая сумма компенсационной стоимости. Значение показателя рассчитывается следующим образом: стр. 36 = стр. 34 - стр. 35.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Из общей суммы, указанной в строке 36, дополнительно выделяются: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в строке 37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Не подлежит индексации по величине прожиточного минимума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- сумма не индексируемых по прожиточному минимуму платежей, начисленных до 1 января 2005 г.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Показатель в строке 37 не может быть больше показателя в строке 36. </w:t>
      </w:r>
    </w:p>
    <w:p w:rsidR="007050BF" w:rsidRPr="009067B1" w:rsidRDefault="007050BF" w:rsidP="007050B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Если на конец отчетного квартала работодателем перечислены все необходимые платежи, то в строках 36 - 37 ставится значение ноль. Если в результате перечисления образовалась переплата, которая засчитывается в счет будущих платежей, эта сумма указывается в строке 38 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>Перечислено в счет будущих платежей на конец отчетного квартала</w:t>
      </w:r>
      <w:r w:rsidR="007B05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Перечислено в отчетном квартале</w:t>
      </w: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18. В разделе III Формы указываются номера, даты и суммы платежных поручений по перечислению компенсационной стоимости за соответствующие месяцы отчетного квартала, подтверждающих произведенную оплату, указанную по строке 35.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7050BF" w:rsidRPr="009067B1" w:rsidRDefault="007050BF" w:rsidP="007050BF">
      <w:pPr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7B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553ECA" w:rsidRPr="009067B1" w:rsidRDefault="00553ECA">
      <w:pPr>
        <w:rPr>
          <w:rFonts w:ascii="Arial" w:hAnsi="Arial" w:cs="Arial"/>
          <w:sz w:val="24"/>
          <w:szCs w:val="24"/>
        </w:rPr>
      </w:pPr>
    </w:p>
    <w:sectPr w:rsidR="00553ECA" w:rsidRPr="0090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BF"/>
    <w:rsid w:val="003678B7"/>
    <w:rsid w:val="00553ECA"/>
    <w:rsid w:val="007050BF"/>
    <w:rsid w:val="007B0560"/>
    <w:rsid w:val="0090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05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50B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05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50B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Евгений Вячеславович</dc:creator>
  <cp:lastModifiedBy>beaver</cp:lastModifiedBy>
  <cp:revision>2</cp:revision>
  <dcterms:created xsi:type="dcterms:W3CDTF">2025-08-15T14:38:00Z</dcterms:created>
  <dcterms:modified xsi:type="dcterms:W3CDTF">2025-08-15T14:38:00Z</dcterms:modified>
</cp:coreProperties>
</file>