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Приказ Минтруда России от 30.08.2019 N 605н</w:t>
              <w:br/>
              <w:t xml:space="preserve">(ред. от 15.12.2022)</w:t>
              <w:br/>
              <w:t xml:space="preserve">"Об утверждении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предоставляемым уполномоченным органом техническим средствам реабилитации, протезам, протезно-ортопедическим изделиям, а также формы заключения указанной медико-технической экспертизы"</w:t>
              <w:br/>
              <w:t xml:space="preserve">(Зарегистрировано в Минюсте России 24.09.2019 N 56034)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24 сентября 2019 г. N 56034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30 августа 2019 г. N 605н</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ОСУЩЕСТВЛЕНИЯ УПОЛНОМОЧЕННЫМ ОРГАНОМ МЕДИКО-ТЕХНИЧЕСКОЙ</w:t>
      </w:r>
    </w:p>
    <w:p>
      <w:pPr>
        <w:pStyle w:val="2"/>
        <w:jc w:val="center"/>
      </w:pPr>
      <w:r>
        <w:rPr>
          <w:sz w:val="20"/>
        </w:rPr>
        <w:t xml:space="preserve">ЭКСПЕРТИЗЫ ПО УСТАНОВЛЕНИЮ НЕОБХОДИМОСТИ РЕМОНТА</w:t>
      </w:r>
    </w:p>
    <w:p>
      <w:pPr>
        <w:pStyle w:val="2"/>
        <w:jc w:val="center"/>
      </w:pPr>
      <w:r>
        <w:rPr>
          <w:sz w:val="20"/>
        </w:rPr>
        <w:t xml:space="preserve">ИЛИ ЗАМЕНЫ, В ТОМ ЧИСЛЕ ДОСРОЧНОЙ ЗАМЕНЫ ТЕХНИЧЕСКИХ</w:t>
      </w:r>
    </w:p>
    <w:p>
      <w:pPr>
        <w:pStyle w:val="2"/>
        <w:jc w:val="center"/>
      </w:pPr>
      <w:r>
        <w:rPr>
          <w:sz w:val="20"/>
        </w:rPr>
        <w:t xml:space="preserve">СРЕДСТВ РЕАБИЛИТАЦИИ, ПРОТЕЗОВ, ПРОТЕЗНО-ОРТОПЕДИЧЕСКИХ</w:t>
      </w:r>
    </w:p>
    <w:p>
      <w:pPr>
        <w:pStyle w:val="2"/>
        <w:jc w:val="center"/>
      </w:pPr>
      <w:r>
        <w:rPr>
          <w:sz w:val="20"/>
        </w:rPr>
        <w:t xml:space="preserve">ИЗДЕЛИЙ, ВОЗМОЖНОСТИ И СРОКА ДАЛЬНЕЙШЕГО ПОЛЬЗОВАНИЯ ИМИ,</w:t>
      </w:r>
    </w:p>
    <w:p>
      <w:pPr>
        <w:pStyle w:val="2"/>
        <w:jc w:val="center"/>
      </w:pPr>
      <w:r>
        <w:rPr>
          <w:sz w:val="20"/>
        </w:rPr>
        <w:t xml:space="preserve">ПО УСТАНОВЛЕНИЮ СООТВЕТСТВИЯ ПРИОБРЕТЕННЫХ ИНВАЛИДАМИ</w:t>
      </w:r>
    </w:p>
    <w:p>
      <w:pPr>
        <w:pStyle w:val="2"/>
        <w:jc w:val="center"/>
      </w:pPr>
      <w:r>
        <w:rPr>
          <w:sz w:val="20"/>
        </w:rPr>
        <w:t xml:space="preserve">(ВЕТЕРАНАМИ) ЗА СОБСТВЕННЫЙ СЧЕТ ТЕХНИЧЕСКИХ СРЕДСТВ</w:t>
      </w:r>
    </w:p>
    <w:p>
      <w:pPr>
        <w:pStyle w:val="2"/>
        <w:jc w:val="center"/>
      </w:pPr>
      <w:r>
        <w:rPr>
          <w:sz w:val="20"/>
        </w:rPr>
        <w:t xml:space="preserve">РЕАБИЛИТАЦИИ, ПРОТЕЗОВ, ПРОТЕЗНО-ОРТОПЕДИЧЕСКИХ</w:t>
      </w:r>
    </w:p>
    <w:p>
      <w:pPr>
        <w:pStyle w:val="2"/>
        <w:jc w:val="center"/>
      </w:pPr>
      <w:r>
        <w:rPr>
          <w:sz w:val="20"/>
        </w:rPr>
        <w:t xml:space="preserve">ИЗДЕЛИЙ ПРЕДОСТАВЛЯЕМЫМ УПОЛНОМОЧЕННЫМ ОРГАНОМ</w:t>
      </w:r>
    </w:p>
    <w:p>
      <w:pPr>
        <w:pStyle w:val="2"/>
        <w:jc w:val="center"/>
      </w:pPr>
      <w:r>
        <w:rPr>
          <w:sz w:val="20"/>
        </w:rPr>
        <w:t xml:space="preserve">ТЕХНИЧЕСКИМ СРЕДСТВАМ РЕАБИЛИТАЦИИ, ПРОТЕЗАМ,</w:t>
      </w:r>
    </w:p>
    <w:p>
      <w:pPr>
        <w:pStyle w:val="2"/>
        <w:jc w:val="center"/>
      </w:pPr>
      <w:r>
        <w:rPr>
          <w:sz w:val="20"/>
        </w:rPr>
        <w:t xml:space="preserve">ПРОТЕЗНО-ОРТОПЕДИЧЕСКИМ ИЗДЕЛИЯМ, А ТАКЖЕ ФОРМЫ</w:t>
      </w:r>
    </w:p>
    <w:p>
      <w:pPr>
        <w:pStyle w:val="2"/>
        <w:jc w:val="center"/>
      </w:pPr>
      <w:r>
        <w:rPr>
          <w:sz w:val="20"/>
        </w:rPr>
        <w:t xml:space="preserve">ЗАКЛЮЧЕНИЯ УКАЗАННОЙ МЕДИКО-ТЕХНИЧЕСКОЙ ЭКСПЕРТИЗЫ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Минтруда России от 05.03.2021 </w:t>
            </w:r>
            <w:hyperlink w:history="0" r:id="rId7" w:tooltip="Приказ Минтруда России от 05.03.2021 N 109н &quot;О внесении изменения в пункт 2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 {КонсультантПлюс}">
              <w:r>
                <w:rPr>
                  <w:sz w:val="20"/>
                  <w:color w:val="0000ff"/>
                </w:rPr>
                <w:t xml:space="preserve">N 109н</w:t>
              </w:r>
            </w:hyperlink>
            <w:r>
              <w:rPr>
                <w:sz w:val="20"/>
                <w:color w:val="392c69"/>
              </w:rPr>
              <w:t xml:space="preserve">,</w:t>
            </w:r>
          </w:p>
          <w:p>
            <w:pPr>
              <w:pStyle w:val="0"/>
              <w:jc w:val="center"/>
            </w:pPr>
            <w:r>
              <w:rPr>
                <w:sz w:val="20"/>
                <w:color w:val="392c69"/>
              </w:rPr>
              <w:t xml:space="preserve">от 03.12.2021 </w:t>
            </w:r>
            <w:hyperlink w:history="0" r:id="rId8" w:tooltip="Приказ Минтруда России от 03.12.2021 N 848н &quot;О внесении изменений в Порядок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 {КонсультантПлюс}">
              <w:r>
                <w:rPr>
                  <w:sz w:val="20"/>
                  <w:color w:val="0000ff"/>
                </w:rPr>
                <w:t xml:space="preserve">N 848н</w:t>
              </w:r>
            </w:hyperlink>
            <w:r>
              <w:rPr>
                <w:sz w:val="20"/>
                <w:color w:val="392c69"/>
              </w:rPr>
              <w:t xml:space="preserve">, от 15.12.2022 </w:t>
            </w:r>
            <w:hyperlink w:history="0" r:id="rId9" w:tooltip="Приказ Минтруда России от 15.12.2022 N 782н (ред. от 16.04.2024) &quot;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quot;О Фонде пенсионного и социального страхования Российской Федерации&quot; (Зарегистрировано в Минюсте России 01.03.2023 N 72478) (с изм. и доп., вступ. в силу с 01.07.2024) {КонсультантПлюс}">
              <w:r>
                <w:rPr>
                  <w:sz w:val="20"/>
                  <w:color w:val="0000ff"/>
                </w:rPr>
                <w:t xml:space="preserve">N 782н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пунктами 8</w:t>
        </w:r>
      </w:hyperlink>
      <w:r>
        <w:rPr>
          <w:sz w:val="20"/>
        </w:rPr>
        <w:t xml:space="preserve">, </w:t>
      </w:r>
      <w:hyperlink w:history="0" r:id="rId11"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10</w:t>
        </w:r>
      </w:hyperlink>
      <w:r>
        <w:rPr>
          <w:sz w:val="20"/>
        </w:rPr>
        <w:t xml:space="preserve"> и </w:t>
      </w:r>
      <w:hyperlink w:history="0" r:id="rId12"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15.1</w:t>
        </w:r>
      </w:hyperlink>
      <w:r>
        <w:rPr>
          <w:sz w:val="20"/>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 (Собрание законодательства Российской Федерации, 2008, N 15, ст. 1550; 2011, N 16, ст. 2294; 2012, N 17, ст. 1992; N 37, ст. 5002; 2013, N 13, ст. 1559; N 22, ст. 2809; N 40, ст. 5076; 2014, N 44, ст. 6070; 2016, N 12, ст. 1656; 2017, N 49, ст. 7451; 2018, N 6, ст. 899; 2019, N 17, ст. 2087; N 21, ст. 2567),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5" w:tooltip="ПОРЯДОК">
        <w:r>
          <w:rPr>
            <w:sz w:val="20"/>
            <w:color w:val="0000ff"/>
          </w:rPr>
          <w:t xml:space="preserve">Порядок</w:t>
        </w:r>
      </w:hyperlink>
      <w:r>
        <w:rPr>
          <w:sz w:val="20"/>
        </w:rPr>
        <w:t xml:space="preserve">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предоставляемым уполномоченным органом техническим средствам реабилитации, протезам, протезно-ортопедическим изделиям согласно приложению N 1;</w:t>
      </w:r>
    </w:p>
    <w:p>
      <w:pPr>
        <w:pStyle w:val="0"/>
        <w:spacing w:before="200" w:line-rule="auto"/>
        <w:ind w:firstLine="540"/>
        <w:jc w:val="both"/>
      </w:pPr>
      <w:hyperlink w:history="0" w:anchor="P139" w:tooltip="                                Заключение">
        <w:r>
          <w:rPr>
            <w:sz w:val="20"/>
            <w:color w:val="0000ff"/>
          </w:rPr>
          <w:t xml:space="preserve">форму</w:t>
        </w:r>
      </w:hyperlink>
      <w:r>
        <w:rPr>
          <w:sz w:val="20"/>
        </w:rPr>
        <w:t xml:space="preserve"> заключения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предоставляемым уполномоченным органом техническим средствам реабилитации, протезам, протезно-ортопедическим изделиям согласно приложению N 2.</w:t>
      </w:r>
    </w:p>
    <w:p>
      <w:pPr>
        <w:pStyle w:val="0"/>
        <w:spacing w:before="200" w:line-rule="auto"/>
        <w:ind w:firstLine="540"/>
        <w:jc w:val="both"/>
      </w:pPr>
      <w:r>
        <w:rPr>
          <w:sz w:val="20"/>
        </w:rPr>
        <w:t xml:space="preserve">2. Признать утратившим силу </w:t>
      </w:r>
      <w:hyperlink w:history="0" r:id="rId13" w:tooltip="Приказ Минтруда России от 17.10.2017 N 733н &quot;Об утверждении Порядка осуществления уполномоченным органом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и формы заключения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quot; (Зарегистрировано в Минюсте России 09.01.2018 N 49560)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17 октября 2017 г. N 733н "Об утверждении Порядка осуществления уполномоченным органом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и формы заключения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(зарегистрирован Министерством юстиции Российской Федерации 9 января 2018 г., регистрационный N 49560).</w:t>
      </w:r>
    </w:p>
    <w:p>
      <w:pPr>
        <w:pStyle w:val="0"/>
        <w:jc w:val="both"/>
      </w:pPr>
      <w:r>
        <w:rPr>
          <w:sz w:val="20"/>
        </w:rPr>
      </w:r>
    </w:p>
    <w:p>
      <w:pPr>
        <w:pStyle w:val="0"/>
        <w:jc w:val="right"/>
      </w:pPr>
      <w:r>
        <w:rPr>
          <w:sz w:val="20"/>
        </w:rPr>
        <w:t xml:space="preserve">Министр</w:t>
      </w:r>
    </w:p>
    <w:p>
      <w:pPr>
        <w:pStyle w:val="0"/>
        <w:jc w:val="right"/>
      </w:pPr>
      <w:r>
        <w:rPr>
          <w:sz w:val="20"/>
        </w:rPr>
        <w:t xml:space="preserve">М.А.ТОПИЛИН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30 августа 2019 г. N 605н</w:t>
      </w:r>
    </w:p>
    <w:p>
      <w:pPr>
        <w:pStyle w:val="0"/>
        <w:jc w:val="both"/>
      </w:pPr>
      <w:r>
        <w:rPr>
          <w:sz w:val="20"/>
        </w:rPr>
      </w:r>
    </w:p>
    <w:bookmarkStart w:id="45" w:name="P45"/>
    <w:bookmarkEnd w:id="45"/>
    <w:p>
      <w:pPr>
        <w:pStyle w:val="2"/>
        <w:jc w:val="center"/>
      </w:pPr>
      <w:r>
        <w:rPr>
          <w:sz w:val="20"/>
        </w:rPr>
        <w:t xml:space="preserve">ПОРЯДОК</w:t>
      </w:r>
    </w:p>
    <w:p>
      <w:pPr>
        <w:pStyle w:val="2"/>
        <w:jc w:val="center"/>
      </w:pPr>
      <w:r>
        <w:rPr>
          <w:sz w:val="20"/>
        </w:rPr>
        <w:t xml:space="preserve">ОСУЩЕСТВЛЕНИЯ УПОЛНОМОЧЕННЫМ ОРГАНОМ МЕДИКО-ТЕХНИЧЕСКОЙ</w:t>
      </w:r>
    </w:p>
    <w:p>
      <w:pPr>
        <w:pStyle w:val="2"/>
        <w:jc w:val="center"/>
      </w:pPr>
      <w:r>
        <w:rPr>
          <w:sz w:val="20"/>
        </w:rPr>
        <w:t xml:space="preserve">ЭКСПЕРТИЗЫ ПО УСТАНОВЛЕНИЮ НЕОБХОДИМОСТИ РЕМОНТА</w:t>
      </w:r>
    </w:p>
    <w:p>
      <w:pPr>
        <w:pStyle w:val="2"/>
        <w:jc w:val="center"/>
      </w:pPr>
      <w:r>
        <w:rPr>
          <w:sz w:val="20"/>
        </w:rPr>
        <w:t xml:space="preserve">ИЛИ ЗАМЕНЫ, В ТОМ ЧИСЛЕ ДОСРОЧНОЙ ЗАМЕНЫ ТЕХНИЧЕСКИХ</w:t>
      </w:r>
    </w:p>
    <w:p>
      <w:pPr>
        <w:pStyle w:val="2"/>
        <w:jc w:val="center"/>
      </w:pPr>
      <w:r>
        <w:rPr>
          <w:sz w:val="20"/>
        </w:rPr>
        <w:t xml:space="preserve">СРЕДСТВ РЕАБИЛИТАЦИИ, ПРОТЕЗОВ, ПРОТЕЗНО-ОРТОПЕДИЧЕСКИХ</w:t>
      </w:r>
    </w:p>
    <w:p>
      <w:pPr>
        <w:pStyle w:val="2"/>
        <w:jc w:val="center"/>
      </w:pPr>
      <w:r>
        <w:rPr>
          <w:sz w:val="20"/>
        </w:rPr>
        <w:t xml:space="preserve">ИЗДЕЛИЙ, ВОЗМОЖНОСТИ И СРОКА ДАЛЬНЕЙШЕГО ПОЛЬЗОВАНИЯ ИМИ,</w:t>
      </w:r>
    </w:p>
    <w:p>
      <w:pPr>
        <w:pStyle w:val="2"/>
        <w:jc w:val="center"/>
      </w:pPr>
      <w:r>
        <w:rPr>
          <w:sz w:val="20"/>
        </w:rPr>
        <w:t xml:space="preserve">ПО УСТАНОВЛЕНИЮ СООТВЕТСТВИЯ ПРИОБРЕТЕННЫХ ИНВАЛИДАМИ</w:t>
      </w:r>
    </w:p>
    <w:p>
      <w:pPr>
        <w:pStyle w:val="2"/>
        <w:jc w:val="center"/>
      </w:pPr>
      <w:r>
        <w:rPr>
          <w:sz w:val="20"/>
        </w:rPr>
        <w:t xml:space="preserve">(ВЕТЕРАНАМИ) ЗА СОБСТВЕННЫЙ СЧЕТ ТЕХНИЧЕСКИХ СРЕДСТВ</w:t>
      </w:r>
    </w:p>
    <w:p>
      <w:pPr>
        <w:pStyle w:val="2"/>
        <w:jc w:val="center"/>
      </w:pPr>
      <w:r>
        <w:rPr>
          <w:sz w:val="20"/>
        </w:rPr>
        <w:t xml:space="preserve">РЕАБИЛИТАЦИИ, ПРОТЕЗОВ, ПРОТЕЗНО-ОРТОПЕДИЧЕСКИХ</w:t>
      </w:r>
    </w:p>
    <w:p>
      <w:pPr>
        <w:pStyle w:val="2"/>
        <w:jc w:val="center"/>
      </w:pPr>
      <w:r>
        <w:rPr>
          <w:sz w:val="20"/>
        </w:rPr>
        <w:t xml:space="preserve">ИЗДЕЛИЙ ПРЕДОСТАВЛЯЕМЫМ УПОЛНОМОЧЕННЫМ ОРГАНОМ</w:t>
      </w:r>
    </w:p>
    <w:p>
      <w:pPr>
        <w:pStyle w:val="2"/>
        <w:jc w:val="center"/>
      </w:pPr>
      <w:r>
        <w:rPr>
          <w:sz w:val="20"/>
        </w:rPr>
        <w:t xml:space="preserve">ТЕХНИЧЕСКИМ СРЕДСТВАМ РЕАБИЛИТАЦИИ, ПРОТЕЗАМ,</w:t>
      </w:r>
    </w:p>
    <w:p>
      <w:pPr>
        <w:pStyle w:val="2"/>
        <w:jc w:val="center"/>
      </w:pPr>
      <w:r>
        <w:rPr>
          <w:sz w:val="20"/>
        </w:rPr>
        <w:t xml:space="preserve">ПРОТЕЗНО-ОРТОПЕДИЧЕСКИМ ИЗДЕЛИЯМ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Минтруда России от 05.03.2021 </w:t>
            </w:r>
            <w:hyperlink w:history="0" r:id="rId14" w:tooltip="Приказ Минтруда России от 05.03.2021 N 109н &quot;О внесении изменения в пункт 2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 {КонсультантПлюс}">
              <w:r>
                <w:rPr>
                  <w:sz w:val="20"/>
                  <w:color w:val="0000ff"/>
                </w:rPr>
                <w:t xml:space="preserve">N 109н</w:t>
              </w:r>
            </w:hyperlink>
            <w:r>
              <w:rPr>
                <w:sz w:val="20"/>
                <w:color w:val="392c69"/>
              </w:rPr>
              <w:t xml:space="preserve">,</w:t>
            </w:r>
          </w:p>
          <w:p>
            <w:pPr>
              <w:pStyle w:val="0"/>
              <w:jc w:val="center"/>
            </w:pPr>
            <w:r>
              <w:rPr>
                <w:sz w:val="20"/>
                <w:color w:val="392c69"/>
              </w:rPr>
              <w:t xml:space="preserve">от 03.12.2021 </w:t>
            </w:r>
            <w:hyperlink w:history="0" r:id="rId15" w:tooltip="Приказ Минтруда России от 03.12.2021 N 848н &quot;О внесении изменений в Порядок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 {КонсультантПлюс}">
              <w:r>
                <w:rPr>
                  <w:sz w:val="20"/>
                  <w:color w:val="0000ff"/>
                </w:rPr>
                <w:t xml:space="preserve">N 848н</w:t>
              </w:r>
            </w:hyperlink>
            <w:r>
              <w:rPr>
                <w:sz w:val="20"/>
                <w:color w:val="392c69"/>
              </w:rPr>
              <w:t xml:space="preserve">, от 15.12.2022 </w:t>
            </w:r>
            <w:hyperlink w:history="0" r:id="rId16" w:tooltip="Приказ Минтруда России от 15.12.2022 N 782н (ред. от 16.04.2024) &quot;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quot;О Фонде пенсионного и социального страхования Российской Федерации&quot; (Зарегистрировано в Минюсте России 01.03.2023 N 72478) (с изм. и доп., вступ. в силу с 01.07.2024) {КонсультантПлюс}">
              <w:r>
                <w:rPr>
                  <w:sz w:val="20"/>
                  <w:color w:val="0000ff"/>
                </w:rPr>
                <w:t xml:space="preserve">N 782н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правила осуществления территориальным органом Фонда пенсионного и социального страхования Российской Федерации или органом исполнительной власти субъекта Российской Федерации, уполномоченным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лицам, признанным инвалидами (за исключением лиц, признанных инвалидами вследствие несчастных случаев на производстве и профессиональных заболеваний), и лицам в возрасте до 18 лет, которым установлена категория "ребенок-инвалид" (далее - инвалиды) в части обеспечения техническими средствами реабилитации, предусмотренными федеральным </w:t>
      </w:r>
      <w:hyperlink w:history="0" r:id="rId17"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(Собрание законодательства Российской Федерации, 2006, N 4, ст. 453; 2010, N 47, ст. 6186; 2013, N 12, ст. 1319; 2014, N 38, ст. 5096; 2017, N 49, ст. 7451), (далее - технические средства) и отдельным категориям граждан из числа ветеранов, не являющихся инвалидами, протезами (кроме зубных протезов), протезно-ортопедическими изделиями, а также услугами по их ремонту (далее соответственно - изделия, уполномоченный орган) медико-технической экспертизы по установлению необходимости ремонта или замены, в том числе досрочной замены технических средств (изделий) (далее - медико-техническая экспертиза),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(изделий) предоставляемым уполномоченным органом техническим средствам (изделиям).</w:t>
      </w:r>
    </w:p>
    <w:p>
      <w:pPr>
        <w:pStyle w:val="0"/>
        <w:jc w:val="both"/>
      </w:pPr>
      <w:r>
        <w:rPr>
          <w:sz w:val="20"/>
        </w:rPr>
        <w:t xml:space="preserve">(в ред. </w:t>
      </w:r>
      <w:hyperlink w:history="0" r:id="rId18" w:tooltip="Приказ Минтруда России от 15.12.2022 N 782н (ред. от 16.04.2024) &quot;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quot;О Фонде пенсионного и социального страхования Российской Федерации&quot; (Зарегистрировано в Минюсте России 01.03.2023 N 72478) (с изм. и доп., вступ. в силу с 01.07.2024) {КонсультантПлюс}">
        <w:r>
          <w:rPr>
            <w:sz w:val="20"/>
            <w:color w:val="0000ff"/>
          </w:rPr>
          <w:t xml:space="preserve">Приказа</w:t>
        </w:r>
      </w:hyperlink>
      <w:r>
        <w:rPr>
          <w:sz w:val="20"/>
        </w:rPr>
        <w:t xml:space="preserve"> Минтруда России от 15.12.2022 N 782н)</w:t>
      </w:r>
    </w:p>
    <w:p>
      <w:pPr>
        <w:pStyle w:val="0"/>
        <w:spacing w:before="200" w:line-rule="auto"/>
        <w:ind w:firstLine="540"/>
        <w:jc w:val="both"/>
      </w:pPr>
      <w:r>
        <w:rPr>
          <w:sz w:val="20"/>
        </w:rPr>
        <w:t xml:space="preserve">2. Медико-техническая экспертиза осуществляется уполномоченным органом в рамках рассмотрения заявления, поданного инвалидом (ветераном) либо лицом, представляющим его интересы, в предусмотренных </w:t>
      </w:r>
      <w:hyperlink w:history="0" r:id="rId19"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пунктами 8</w:t>
        </w:r>
      </w:hyperlink>
      <w:r>
        <w:rPr>
          <w:sz w:val="20"/>
        </w:rPr>
        <w:t xml:space="preserve">, </w:t>
      </w:r>
      <w:hyperlink w:history="0" r:id="rId20"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10</w:t>
        </w:r>
      </w:hyperlink>
      <w:r>
        <w:rPr>
          <w:sz w:val="20"/>
        </w:rPr>
        <w:t xml:space="preserve"> и </w:t>
      </w:r>
      <w:hyperlink w:history="0" r:id="rId21"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15(1)</w:t>
        </w:r>
      </w:hyperlink>
      <w:r>
        <w:rPr>
          <w:sz w:val="20"/>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 (Собрание законодательства Российской Федерации, 2008, N 15, ст. 1550; 2019, N 21, ст. 2567; 2021, N 7, ст. 1124; N 41, ст. 6967) (далее - Правила), случаях.</w:t>
      </w:r>
    </w:p>
    <w:p>
      <w:pPr>
        <w:pStyle w:val="0"/>
        <w:spacing w:before="200" w:line-rule="auto"/>
        <w:ind w:firstLine="540"/>
        <w:jc w:val="both"/>
      </w:pPr>
      <w:r>
        <w:rPr>
          <w:sz w:val="20"/>
        </w:rPr>
        <w:t xml:space="preserve">На медико-техническую экспертизу инвалид (ветеран) представляет техническое средство (изделие), в том числе приобретенное за собственный счет, потребность в ремонте или замены которого, в том числе досрочной замены, возможность и срок дальнейшего пользования, а также соответствие предоставляемым уполномоченным органом техническим средствам (изделиям) необходимо установить, за исключением случаев невозможности предоставления технического средства (изделия) в место осуществления приема уполномоченным органом вследствие затруднения в его транспортировке или состояния здоровья инвалида (ветерана), при которых медико-техническая экспертиза проводится уполномоченным органом с выездом на дом инвалида (ветерана).</w:t>
      </w:r>
    </w:p>
    <w:p>
      <w:pPr>
        <w:pStyle w:val="0"/>
        <w:spacing w:before="200" w:line-rule="auto"/>
        <w:ind w:firstLine="540"/>
        <w:jc w:val="both"/>
      </w:pPr>
      <w:r>
        <w:rPr>
          <w:sz w:val="20"/>
        </w:rPr>
        <w:t xml:space="preserve">В заявлении инвалид (ветеран) сообщает о желании принять (или не принимать) участие в проведении медико-технической экспертизы, если необходимость ее проведения будет определена уполномоченным органом в установленных Правилами случаях, а также информирует уполномоченный орган о невозможности представления технического средства (изделия) вследствие затруднения в его транспортировке или состояния здоровья инвалида (ветерана).</w:t>
      </w:r>
    </w:p>
    <w:p>
      <w:pPr>
        <w:pStyle w:val="0"/>
        <w:jc w:val="both"/>
      </w:pPr>
      <w:r>
        <w:rPr>
          <w:sz w:val="20"/>
        </w:rPr>
        <w:t xml:space="preserve">(п. 2 в ред. </w:t>
      </w:r>
      <w:hyperlink w:history="0" r:id="rId22" w:tooltip="Приказ Минтруда России от 03.12.2021 N 848н &quot;О внесении изменений в Порядок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 {КонсультантПлюс}">
        <w:r>
          <w:rPr>
            <w:sz w:val="20"/>
            <w:color w:val="0000ff"/>
          </w:rPr>
          <w:t xml:space="preserve">Приказа</w:t>
        </w:r>
      </w:hyperlink>
      <w:r>
        <w:rPr>
          <w:sz w:val="20"/>
        </w:rPr>
        <w:t xml:space="preserve"> Минтруда России от 03.12.2021 N 848н)</w:t>
      </w:r>
    </w:p>
    <w:p>
      <w:pPr>
        <w:pStyle w:val="0"/>
        <w:spacing w:before="200" w:line-rule="auto"/>
        <w:ind w:firstLine="540"/>
        <w:jc w:val="both"/>
      </w:pPr>
      <w:r>
        <w:rPr>
          <w:sz w:val="20"/>
        </w:rPr>
        <w:t xml:space="preserve">3. Уполномоченный орган в 2-дневный срок со дня получения заявления, предусмотренного </w:t>
      </w:r>
      <w:hyperlink w:history="0" r:id="rId23"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пунктами 8</w:t>
        </w:r>
      </w:hyperlink>
      <w:r>
        <w:rPr>
          <w:sz w:val="20"/>
        </w:rPr>
        <w:t xml:space="preserve"> и </w:t>
      </w:r>
      <w:hyperlink w:history="0" r:id="rId24"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10</w:t>
        </w:r>
      </w:hyperlink>
      <w:r>
        <w:rPr>
          <w:sz w:val="20"/>
        </w:rPr>
        <w:t xml:space="preserve"> Правил, а также заявления, сформированного в соответствии с порядком выплаты компенсации за технические средства (изделия), предусмотренным </w:t>
      </w:r>
      <w:hyperlink w:history="0" r:id="rId25"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пунктом 15(1)</w:t>
        </w:r>
      </w:hyperlink>
      <w:r>
        <w:rPr>
          <w:sz w:val="20"/>
        </w:rPr>
        <w:t xml:space="preserve"> Правил, информирует инвалида (ветерана) о месте и времени осуществления медико-технической экспертизы по почте заказным письмом с уведомлением о его вручении либо с использованием иных средств связи и доставки, позволяющих подтвердить факт информирования инвалида (ветерана) о проведении медико-технической экспертизы, включая федеральную государственную информационную систему "Единый портал государственных и муниципальных услуг (функций)" (далее - единый портал).</w:t>
      </w:r>
    </w:p>
    <w:p>
      <w:pPr>
        <w:pStyle w:val="0"/>
        <w:jc w:val="both"/>
      </w:pPr>
      <w:r>
        <w:rPr>
          <w:sz w:val="20"/>
        </w:rPr>
        <w:t xml:space="preserve">(п. 3 в ред. </w:t>
      </w:r>
      <w:hyperlink w:history="0" r:id="rId26" w:tooltip="Приказ Минтруда России от 03.12.2021 N 848н &quot;О внесении изменений в Порядок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 {КонсультантПлюс}">
        <w:r>
          <w:rPr>
            <w:sz w:val="20"/>
            <w:color w:val="0000ff"/>
          </w:rPr>
          <w:t xml:space="preserve">Приказа</w:t>
        </w:r>
      </w:hyperlink>
      <w:r>
        <w:rPr>
          <w:sz w:val="20"/>
        </w:rPr>
        <w:t xml:space="preserve"> Минтруда России от 03.12.2021 N 848н)</w:t>
      </w:r>
    </w:p>
    <w:p>
      <w:pPr>
        <w:pStyle w:val="0"/>
        <w:spacing w:before="200" w:line-rule="auto"/>
        <w:ind w:firstLine="540"/>
        <w:jc w:val="both"/>
      </w:pPr>
      <w:r>
        <w:rPr>
          <w:sz w:val="20"/>
        </w:rPr>
        <w:t xml:space="preserve">4. Для осуществления медико-технической экспертизы уполномоченным органом создается экспертная комиссия (далее - Комиссия), в состав которой входит не менее пяти человек, включая председателя, заместителя председателя, секретаря и членов Комиссии.</w:t>
      </w:r>
    </w:p>
    <w:p>
      <w:pPr>
        <w:pStyle w:val="0"/>
        <w:spacing w:before="200" w:line-rule="auto"/>
        <w:ind w:firstLine="540"/>
        <w:jc w:val="both"/>
      </w:pPr>
      <w:r>
        <w:rPr>
          <w:sz w:val="20"/>
        </w:rPr>
        <w:t xml:space="preserve">Председателем и заместителем председателя Комиссии являются представители уполномоченного органа.</w:t>
      </w:r>
    </w:p>
    <w:p>
      <w:pPr>
        <w:pStyle w:val="0"/>
        <w:spacing w:before="200" w:line-rule="auto"/>
        <w:ind w:firstLine="540"/>
        <w:jc w:val="both"/>
      </w:pPr>
      <w:r>
        <w:rPr>
          <w:sz w:val="20"/>
        </w:rPr>
        <w:t xml:space="preserve">Состав Комиссии формируется из числа представителей уполномоченного органа и специалистов в области производства и изготовления технических средств (изделий), аналогичных представленным для проведения медико-технической экспертизы техническим средствам (изделиям), имеющих медицинское и (или) техническое образование и (или) квалификацию, подтвержденные документами об образовании и (или) о квалификации, выданными в порядке, установленном законодательством Российской Федерации в сфере образования, обладающих знаниями и опытом, необходимыми для проведения экспертной оценки в соответствии с </w:t>
      </w:r>
      <w:hyperlink w:history="0" w:anchor="P82" w:tooltip="8. Комиссия в 15-дневный срок со дня получения уполномоченным органом заявления производит экспертную оценку состояния работоспособности технического средства (изделия), его соответствия требуемым функциональным параметрам, медицинскому назначению и клинико-функциональным требованиям (далее - экспертная оценка) и выносит решение о необходимости ремонта или замены, в том числе досрочной замены технического средства (изделия), либо о возможности и сроке дальнейшего пользования им, либо о соответствии (несо...">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В отдельных случаях, требующих наличия специальных знаний, в том числе в сфере медицинской деятельности, в состав Комиссии включаются специалисты медицинских организаций, а также консультанты, эксперты и иные специалисты, обладающие специальными знаниями в иных сферах, необходимыми для проведения экспертной оценки в соответствии с </w:t>
      </w:r>
      <w:hyperlink w:history="0" w:anchor="P82" w:tooltip="8. Комиссия в 15-дневный срок со дня получения уполномоченным органом заявления производит экспертную оценку состояния работоспособности технического средства (изделия), его соответствия требуемым функциональным параметрам, медицинскому назначению и клинико-функциональным требованиям (далее - экспертная оценка) и выносит решение о необходимости ремонта или замены, в том числе досрочной замены технического средства (изделия), либо о возможности и сроке дальнейшего пользования им, либо о соответствии (несо...">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Состав Комиссии утверждается уполномоченным органом.</w:t>
      </w:r>
    </w:p>
    <w:p>
      <w:pPr>
        <w:pStyle w:val="0"/>
        <w:spacing w:before="200" w:line-rule="auto"/>
        <w:ind w:firstLine="540"/>
        <w:jc w:val="both"/>
      </w:pPr>
      <w:r>
        <w:rPr>
          <w:sz w:val="20"/>
        </w:rPr>
        <w:t xml:space="preserve">5. Председатель Комиссии (в его отсутствие - заместитель председателя Комиссии) осуществляет:</w:t>
      </w:r>
    </w:p>
    <w:p>
      <w:pPr>
        <w:pStyle w:val="0"/>
        <w:spacing w:before="200" w:line-rule="auto"/>
        <w:ind w:firstLine="540"/>
        <w:jc w:val="both"/>
      </w:pPr>
      <w:r>
        <w:rPr>
          <w:sz w:val="20"/>
        </w:rPr>
        <w:t xml:space="preserve">1) общее руководство деятельностью Комиссии и организует ее работу;</w:t>
      </w:r>
    </w:p>
    <w:p>
      <w:pPr>
        <w:pStyle w:val="0"/>
        <w:spacing w:before="200" w:line-rule="auto"/>
        <w:ind w:firstLine="540"/>
        <w:jc w:val="both"/>
      </w:pPr>
      <w:r>
        <w:rPr>
          <w:sz w:val="20"/>
        </w:rPr>
        <w:t xml:space="preserve">2) определяет даты заседаний Комиссии;</w:t>
      </w:r>
    </w:p>
    <w:p>
      <w:pPr>
        <w:pStyle w:val="0"/>
        <w:spacing w:before="200" w:line-rule="auto"/>
        <w:ind w:firstLine="540"/>
        <w:jc w:val="both"/>
      </w:pPr>
      <w:r>
        <w:rPr>
          <w:sz w:val="20"/>
        </w:rPr>
        <w:t xml:space="preserve">3) ведет заседания Комиссии.</w:t>
      </w:r>
    </w:p>
    <w:p>
      <w:pPr>
        <w:pStyle w:val="0"/>
        <w:spacing w:before="200" w:line-rule="auto"/>
        <w:ind w:firstLine="540"/>
        <w:jc w:val="both"/>
      </w:pPr>
      <w:r>
        <w:rPr>
          <w:sz w:val="20"/>
        </w:rPr>
        <w:t xml:space="preserve">6. Секретарь Комиссии:</w:t>
      </w:r>
    </w:p>
    <w:p>
      <w:pPr>
        <w:pStyle w:val="0"/>
        <w:spacing w:before="200" w:line-rule="auto"/>
        <w:ind w:firstLine="540"/>
        <w:jc w:val="both"/>
      </w:pPr>
      <w:r>
        <w:rPr>
          <w:sz w:val="20"/>
        </w:rPr>
        <w:t xml:space="preserve">1) оформляет протоколы заседаний Комиссии о результатах медико-технической экспертизы (далее - протокол) и организует их направление на подписание членам Комиссии;</w:t>
      </w:r>
    </w:p>
    <w:p>
      <w:pPr>
        <w:pStyle w:val="0"/>
        <w:spacing w:before="200" w:line-rule="auto"/>
        <w:ind w:firstLine="540"/>
        <w:jc w:val="both"/>
      </w:pPr>
      <w:r>
        <w:rPr>
          <w:sz w:val="20"/>
        </w:rPr>
        <w:t xml:space="preserve">2) осуществляет ведение, сбор и хранение протоколов.</w:t>
      </w:r>
    </w:p>
    <w:p>
      <w:pPr>
        <w:pStyle w:val="0"/>
        <w:spacing w:before="200" w:line-rule="auto"/>
        <w:ind w:firstLine="540"/>
        <w:jc w:val="both"/>
      </w:pPr>
      <w:r>
        <w:rPr>
          <w:sz w:val="20"/>
        </w:rPr>
        <w:t xml:space="preserve">7. Заседания Комиссии проводятся по мере необходимости. Заседание Комиссии считается правомочным, если на нем присутствует не менее двух третей членов Комиссии.</w:t>
      </w:r>
    </w:p>
    <w:bookmarkStart w:id="82" w:name="P82"/>
    <w:bookmarkEnd w:id="82"/>
    <w:p>
      <w:pPr>
        <w:pStyle w:val="0"/>
        <w:spacing w:before="200" w:line-rule="auto"/>
        <w:ind w:firstLine="540"/>
        <w:jc w:val="both"/>
      </w:pPr>
      <w:r>
        <w:rPr>
          <w:sz w:val="20"/>
        </w:rPr>
        <w:t xml:space="preserve">8. Комиссия в 15-дневный срок со дня получения уполномоченным органом заявления производит экспертную оценку состояния работоспособности технического средства (изделия), его соответствия требуемым функциональным параметрам, медицинскому назначению и клинико-функциональным требованиям (далее - экспертная оценка) и выносит решение о необходимости ремонта или замены, в том числе досрочной замены технического средства (изделия), либо о возможности и сроке дальнейшего пользования им, либо о соответствии (несоответствии) приобретенного инвалидом (ветераном) за собственный счет технического средства (изделия) предоставляемым уполномоченным органом техническим средствам (изделиям).</w:t>
      </w:r>
    </w:p>
    <w:p>
      <w:pPr>
        <w:pStyle w:val="0"/>
        <w:spacing w:before="200" w:line-rule="auto"/>
        <w:ind w:firstLine="540"/>
        <w:jc w:val="both"/>
      </w:pPr>
      <w:r>
        <w:rPr>
          <w:sz w:val="20"/>
        </w:rPr>
        <w:t xml:space="preserve">Документы, необходимые Комиссии для проведения экспертной оценки, не могут быть истребованы от инвалида (ветерана).</w:t>
      </w:r>
    </w:p>
    <w:p>
      <w:pPr>
        <w:pStyle w:val="0"/>
        <w:spacing w:before="200" w:line-rule="auto"/>
        <w:ind w:firstLine="540"/>
        <w:jc w:val="both"/>
      </w:pPr>
      <w:r>
        <w:rPr>
          <w:sz w:val="20"/>
        </w:rPr>
        <w:t xml:space="preserve">9. Решения Комиссии о необходимости ремонта или замены, в том числе досрочной замены технического средства (изделия), либо о возможности и сроке дальнейшего пользования им, либо о соответствии (несоответствии) приобретенного инвалидом (ветераном) за собственный счет технического средства (изделия) предоставляемым уполномоченным органом техническим средствам (изделиям) принимаются при поддержке не менее двух третей от числа голосов присутствующих на заседании членов Комиссии путем открытого голосования.</w:t>
      </w:r>
    </w:p>
    <w:p>
      <w:pPr>
        <w:pStyle w:val="0"/>
        <w:spacing w:before="200" w:line-rule="auto"/>
        <w:ind w:firstLine="540"/>
        <w:jc w:val="both"/>
      </w:pPr>
      <w:r>
        <w:rPr>
          <w:sz w:val="20"/>
        </w:rPr>
        <w:t xml:space="preserve">10. При принятии решения о необходимости ремонта или замены, в том числе досрочной замены технического средства (изделия), либо о возможности и сроке дальнейшего пользования им Комиссия руководствуется следующими критериями:</w:t>
      </w:r>
    </w:p>
    <w:p>
      <w:pPr>
        <w:pStyle w:val="0"/>
        <w:spacing w:before="200" w:line-rule="auto"/>
        <w:ind w:firstLine="540"/>
        <w:jc w:val="both"/>
      </w:pPr>
      <w:r>
        <w:rPr>
          <w:sz w:val="20"/>
        </w:rPr>
        <w:t xml:space="preserve">1) количественный и качественный состав выявленных неисправностей технического средства (изделия), а также их влияние на состояние работоспособности технического средства (изделия) и выполнение техническим средством (изделием) функций по компенсации или устранению стойких ограничений жизнедеятельности инвалида (ветерана);</w:t>
      </w:r>
    </w:p>
    <w:bookmarkStart w:id="87" w:name="P87"/>
    <w:bookmarkEnd w:id="87"/>
    <w:p>
      <w:pPr>
        <w:pStyle w:val="0"/>
        <w:spacing w:before="200" w:line-rule="auto"/>
        <w:ind w:firstLine="540"/>
        <w:jc w:val="both"/>
      </w:pPr>
      <w:r>
        <w:rPr>
          <w:sz w:val="20"/>
        </w:rPr>
        <w:t xml:space="preserve">2) соответствие (несоответствие) технического средства (изделия) функциональным, техническим, качественным и эксплуатационным характеристикам, установленным (указанным) производителем (поставщиком) в рамках государственного контракта на поставку данного технического средства (изделия), заключенного с ним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результатам отбора уполномоченным органом в соответствии с </w:t>
      </w:r>
      <w:hyperlink w:history="0" r:id="rId27"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Правилами</w:t>
        </w:r>
      </w:hyperlink>
      <w:r>
        <w:rPr>
          <w:sz w:val="20"/>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 N 240 (далее - Правила) (Собрание законодательства Российской Федерации, 2008, N 15, ст. 1550; 2011, N 16, ст. 2294; 2012, N 17, ст. 1992; N 37, ст. 5002; 2013, N 13, ст. 1559; N 22, ст. 2809; N 40, ст. 5076; 2014, N 44, ст. 6070; 2016, N 12, ст. 1656; 2017, N 49, ст. 7451; 2018, N 6, ст. 899; 2019, N 17, ст. 2087; N 21, ст. 2567), организации, осуществляющей обеспечение инвалидов (ветеранов) техническими средствами (изделиями);</w:t>
      </w:r>
    </w:p>
    <w:p>
      <w:pPr>
        <w:pStyle w:val="0"/>
        <w:spacing w:before="200" w:line-rule="auto"/>
        <w:ind w:firstLine="540"/>
        <w:jc w:val="both"/>
      </w:pPr>
      <w:r>
        <w:rPr>
          <w:sz w:val="20"/>
        </w:rPr>
        <w:t xml:space="preserve">3) стоимость ремонта технического средства (изделия) в сравнении со стоимостью аналогичных технических средств (изделий), в том числе услуг по их ремонту, предоставляемых инвалиду (ветерану) уполномоченным органом в порядке, определенном </w:t>
      </w:r>
      <w:hyperlink w:history="0" r:id="rId28"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Правилами</w:t>
        </w:r>
      </w:hyperlink>
      <w:r>
        <w:rPr>
          <w:sz w:val="20"/>
        </w:rPr>
        <w:t xml:space="preserve"> (далее - стоимость аналогичного технического средства (изделия);</w:t>
      </w:r>
    </w:p>
    <w:p>
      <w:pPr>
        <w:pStyle w:val="0"/>
        <w:spacing w:before="200" w:line-rule="auto"/>
        <w:ind w:firstLine="540"/>
        <w:jc w:val="both"/>
      </w:pPr>
      <w:r>
        <w:rPr>
          <w:sz w:val="20"/>
        </w:rPr>
        <w:t xml:space="preserve">4) износ технического средства (изделия), определяемый Комиссией в процентном выражении пропорционально </w:t>
      </w:r>
      <w:hyperlink w:history="0" r:id="rId29" w:tooltip="Приказ Минтруда России от 13.02.2018 N 85н (ред. от 14.10.2020) &quot;Об утверждении Сроков пользования техническими средствами реабилитации, протезами и протезно-ортопедическими изделиями до их замены&quot; (Зарегистрировано в Минюсте России 03.04.2018 N 50602) ------------ Утратил силу или отменен {КонсультантПлюс}">
        <w:r>
          <w:rPr>
            <w:sz w:val="20"/>
            <w:color w:val="0000ff"/>
          </w:rPr>
          <w:t xml:space="preserve">срокам</w:t>
        </w:r>
      </w:hyperlink>
      <w:r>
        <w:rPr>
          <w:sz w:val="20"/>
        </w:rPr>
        <w:t xml:space="preserve"> пользования техническими средствами (изделиями), утвержденным приказом Министерства труда и социальной защиты Российской Федерации от 13 февраля 2018 г. N 85н "Об утверждении Сроков пользования техническими средствами реабилитации, протезами и протезно-ортопедическими изделиями до их замены" (зарегистрирован Министерством юстиции Российской Федерации 3 апреля 2018 г., регистрационный N 50602), с изменениями, внесенными приказом Министерства труда и социальной защиты Российской Федерации от 6 мая 2019 г. N 307н (зарегистрирован Министерством юстиции Российской Федерации 31 мая 2019 г., регистрационный N 54799), за исключением случаев, предусмотренных в </w:t>
      </w:r>
      <w:hyperlink w:history="0" r:id="rId30"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абзаце втором пункта 10</w:t>
        </w:r>
      </w:hyperlink>
      <w:r>
        <w:rPr>
          <w:sz w:val="20"/>
        </w:rPr>
        <w:t xml:space="preserve"> Правил, при которых износ технического средства (изделия) определяется в процентном выражении исходя из остаточных потребительских свойств технического средства (изделия) на момент проведения медико-технической экспертизы, определяемых в зависимости от состояния работоспособности технического средства (изделия), а также с учетом установленных производителем сроков службы технического средства (изделия), в том числе его комплектующих;</w:t>
      </w:r>
    </w:p>
    <w:p>
      <w:pPr>
        <w:pStyle w:val="0"/>
        <w:spacing w:before="200" w:line-rule="auto"/>
        <w:ind w:firstLine="540"/>
        <w:jc w:val="both"/>
      </w:pPr>
      <w:r>
        <w:rPr>
          <w:sz w:val="20"/>
        </w:rPr>
        <w:t xml:space="preserve">5) сохранение (изменение) антропометрических данных инвалида (ветерана) (при принятии инвалидом (ветераном) участия в проведении медико-технической экспертизы).</w:t>
      </w:r>
    </w:p>
    <w:bookmarkStart w:id="91" w:name="P91"/>
    <w:bookmarkEnd w:id="91"/>
    <w:p>
      <w:pPr>
        <w:pStyle w:val="0"/>
        <w:spacing w:before="200" w:line-rule="auto"/>
        <w:ind w:firstLine="540"/>
        <w:jc w:val="both"/>
      </w:pPr>
      <w:r>
        <w:rPr>
          <w:sz w:val="20"/>
        </w:rPr>
        <w:t xml:space="preserve">11. При выявлении в ходе проведения экспертной оценки технического средства (изделия) неисправностей, оказывающих влияние на состояние его работоспособности, на выполнение функций по компенсации или устранению стойких ограничений жизнедеятельности инвалида (ветерана), а также несоответствий технического средства (изделия) функциональным, техническим, качественным и эксплуатационным характеристикам, указанным в </w:t>
      </w:r>
      <w:hyperlink w:history="0" w:anchor="P87" w:tooltip="2) соответствие (несоответствие) технического средства (изделия) функциональным, техническим, качественным и эксплуатационным характеристикам, установленным (указанным) производителем (поставщиком) в рамках государственного контракта на поставку данного технического средства (изделия), заключенного с ни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результатам отбора упо...">
        <w:r>
          <w:rPr>
            <w:sz w:val="20"/>
            <w:color w:val="0000ff"/>
          </w:rPr>
          <w:t xml:space="preserve">подпункте 2 пункта 10</w:t>
        </w:r>
      </w:hyperlink>
      <w:r>
        <w:rPr>
          <w:sz w:val="20"/>
        </w:rPr>
        <w:t xml:space="preserve"> настоящего Порядка, стоимость ремонта по устранению которых не превышает величину стоимости аналогичного технического средства (изделия), Комиссией принимается решение о необходимости ремонта технического средства (изделия) с учетом его износа в следующих случаях:</w:t>
      </w:r>
    </w:p>
    <w:p>
      <w:pPr>
        <w:pStyle w:val="0"/>
        <w:spacing w:before="200" w:line-rule="auto"/>
        <w:ind w:firstLine="540"/>
        <w:jc w:val="both"/>
      </w:pPr>
      <w:r>
        <w:rPr>
          <w:sz w:val="20"/>
        </w:rPr>
        <w:t xml:space="preserve">1) стоимость ремонта технического средства (изделия) составляет не более половины стоимости аналогичного технического средства (изделия), износ - не более 70 процентов;</w:t>
      </w:r>
    </w:p>
    <w:p>
      <w:pPr>
        <w:pStyle w:val="0"/>
        <w:spacing w:before="200" w:line-rule="auto"/>
        <w:ind w:firstLine="540"/>
        <w:jc w:val="both"/>
      </w:pPr>
      <w:r>
        <w:rPr>
          <w:sz w:val="20"/>
        </w:rPr>
        <w:t xml:space="preserve">2) стоимость ремонта технического средства (изделия) составляет не более одной четвертой стоимости аналогичного технического средства (изделия), износ - не более 90 процентов.</w:t>
      </w:r>
    </w:p>
    <w:p>
      <w:pPr>
        <w:pStyle w:val="0"/>
        <w:spacing w:before="200" w:line-rule="auto"/>
        <w:ind w:firstLine="540"/>
        <w:jc w:val="both"/>
      </w:pPr>
      <w:r>
        <w:rPr>
          <w:sz w:val="20"/>
        </w:rPr>
        <w:t xml:space="preserve">Если износ технического средства (изделия) составляет более 90 процентов (включительно) в предусмотренных настоящим пунктом случаях, Комиссией принимается решение о необходимости замены, в том числе досрочной замены технического средства (изделия).</w:t>
      </w:r>
    </w:p>
    <w:p>
      <w:pPr>
        <w:pStyle w:val="0"/>
        <w:spacing w:before="200" w:line-rule="auto"/>
        <w:ind w:firstLine="540"/>
        <w:jc w:val="both"/>
      </w:pPr>
      <w:r>
        <w:rPr>
          <w:sz w:val="20"/>
        </w:rPr>
        <w:t xml:space="preserve">12. При выявлении в ходе проведения экспертной оценки технического средства (изделия) неисправностей и (или) несоответствий, указанных в </w:t>
      </w:r>
      <w:hyperlink w:history="0" w:anchor="P91" w:tooltip="11. При выявлении в ходе проведения экспертной оценки технического средства (изделия) неисправностей, оказывающих влияние на состояние его работоспособности, на выполнение функций по компенсации или устранению стойких ограничений жизнедеятельности инвалида (ветерана), а также несоответствий технического средства (изделия) функциональным, техническим, качественным и эксплуатационным характеристикам, указанным в подпункте 2 пункта 10 настоящего Порядка, стоимость ремонта по устранению которых не превышает ...">
        <w:r>
          <w:rPr>
            <w:sz w:val="20"/>
            <w:color w:val="0000ff"/>
          </w:rPr>
          <w:t xml:space="preserve">пункте 11</w:t>
        </w:r>
      </w:hyperlink>
      <w:r>
        <w:rPr>
          <w:sz w:val="20"/>
        </w:rPr>
        <w:t xml:space="preserve"> настоящего Порядка, стоимость ремонта по устранению которых будет равна величине стоимости аналогичного технического средства (изделия), Комиссией принимается решение о необходимости ремонта технического средства (изделия) или замены, в том числе досрочной замены с учетом износа данного технического средства (изделия).</w:t>
      </w:r>
    </w:p>
    <w:p>
      <w:pPr>
        <w:pStyle w:val="0"/>
        <w:spacing w:before="200" w:line-rule="auto"/>
        <w:ind w:firstLine="540"/>
        <w:jc w:val="both"/>
      </w:pPr>
      <w:r>
        <w:rPr>
          <w:sz w:val="20"/>
        </w:rPr>
        <w:t xml:space="preserve">Решение о необходимости ремонта технического средства (изделия) принимается Комиссией при определении износа технического средства (изделия) до 30 процентов (включительно).</w:t>
      </w:r>
    </w:p>
    <w:p>
      <w:pPr>
        <w:pStyle w:val="0"/>
        <w:spacing w:before="200" w:line-rule="auto"/>
        <w:ind w:firstLine="540"/>
        <w:jc w:val="both"/>
      </w:pPr>
      <w:r>
        <w:rPr>
          <w:sz w:val="20"/>
        </w:rPr>
        <w:t xml:space="preserve">При определении износа технического средства (изделия) свыше 30 процентов Комиссией принимается решение о необходимости замены, в том числе досрочной замены технического средства (изделия).</w:t>
      </w:r>
    </w:p>
    <w:p>
      <w:pPr>
        <w:pStyle w:val="0"/>
        <w:spacing w:before="200" w:line-rule="auto"/>
        <w:ind w:firstLine="540"/>
        <w:jc w:val="both"/>
      </w:pPr>
      <w:r>
        <w:rPr>
          <w:sz w:val="20"/>
        </w:rPr>
        <w:t xml:space="preserve">13. При выявлении в ходе проведения экспертной оценки технического средства (изделия) неисправностей и (или) несоответствий, указанных в </w:t>
      </w:r>
      <w:hyperlink w:history="0" w:anchor="P91" w:tooltip="11. При выявлении в ходе проведения экспертной оценки технического средства (изделия) неисправностей, оказывающих влияние на состояние его работоспособности, на выполнение функций по компенсации или устранению стойких ограничений жизнедеятельности инвалида (ветерана), а также несоответствий технического средства (изделия) функциональным, техническим, качественным и эксплуатационным характеристикам, указанным в подпункте 2 пункта 10 настоящего Порядка, стоимость ремонта по устранению которых не превышает ...">
        <w:r>
          <w:rPr>
            <w:sz w:val="20"/>
            <w:color w:val="0000ff"/>
          </w:rPr>
          <w:t xml:space="preserve">пункте 11</w:t>
        </w:r>
      </w:hyperlink>
      <w:r>
        <w:rPr>
          <w:sz w:val="20"/>
        </w:rPr>
        <w:t xml:space="preserve"> настоящего Порядка, стоимость ремонта по устранению которых превышает величину стоимости аналогичного технического средства (изделия), а также при изменении антропометрических данных инвалида (ветерана), приведших к невозможности дальнейшего использования технического средства (изделия), Комиссией устанавливается невозможность ремонта технического средства (изделия) и принимается решение о необходимости его замены, в том числе досрочной замены.</w:t>
      </w:r>
    </w:p>
    <w:p>
      <w:pPr>
        <w:pStyle w:val="0"/>
        <w:spacing w:before="200" w:line-rule="auto"/>
        <w:ind w:firstLine="540"/>
        <w:jc w:val="both"/>
      </w:pPr>
      <w:r>
        <w:rPr>
          <w:sz w:val="20"/>
        </w:rPr>
        <w:t xml:space="preserve">14. При отсутствии необходимости ремонта или замены технического средства (изделия) по результатам проведения его экспертной оценки в случаях, предусмотренных </w:t>
      </w:r>
      <w:hyperlink w:history="0" r:id="rId31"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абзацем вторым пункта 10</w:t>
        </w:r>
      </w:hyperlink>
      <w:r>
        <w:rPr>
          <w:sz w:val="20"/>
        </w:rPr>
        <w:t xml:space="preserve"> Правил, Комиссией принимается решение о возможности и сроке дальнейшего пользования им.</w:t>
      </w:r>
    </w:p>
    <w:bookmarkStart w:id="100" w:name="P100"/>
    <w:bookmarkEnd w:id="100"/>
    <w:p>
      <w:pPr>
        <w:pStyle w:val="0"/>
        <w:spacing w:before="200" w:line-rule="auto"/>
        <w:ind w:firstLine="540"/>
        <w:jc w:val="both"/>
      </w:pPr>
      <w:r>
        <w:rPr>
          <w:sz w:val="20"/>
        </w:rPr>
        <w:t xml:space="preserve">15. При принятии решения о соответствии приобретенного инвалидом (ветераном) за собственный счет технического средства (изделия) предоставляемым уполномоченным органом техническим средствам (изделиям) Комиссия руководствуется следующими критериями:</w:t>
      </w:r>
    </w:p>
    <w:p>
      <w:pPr>
        <w:pStyle w:val="0"/>
        <w:spacing w:before="200" w:line-rule="auto"/>
        <w:ind w:firstLine="540"/>
        <w:jc w:val="both"/>
      </w:pPr>
      <w:r>
        <w:rPr>
          <w:sz w:val="20"/>
        </w:rPr>
        <w:t xml:space="preserve">1) выполнение (невыполнение) техническим средством (изделием) функций по компенсации или устранению стойких ограничений жизнедеятельности инвалида (ветерана) в сравнении с аналогичным техническим средством (изделием), предоставляемым уполномоченным органом в порядке, определенном </w:t>
      </w:r>
      <w:hyperlink w:history="0" r:id="rId32"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2) соответствие (несоответствие) технического средства (изделия) функциональным, техническим, качественным и эксплуатационным характеристикам, установленным (указанным) производителем (поставщиком) в рамках государственного контракта на поставку аналогичного технического средства (изделия), заключенного с ним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результатам отбора уполномоченным органом в соответствии с </w:t>
      </w:r>
      <w:hyperlink w:history="0" r:id="rId33"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3) соответствие (несоответствие) приобретенного инвалидом (ветераном) за собственный счет технического средства (изделия) виду технического средства (изделия), предусмотренному </w:t>
      </w:r>
      <w:hyperlink w:history="0" r:id="rId34" w:tooltip="Приказ Минтруда России от 13.02.2018 N 86н (ред. от 10.07.2024) &quot;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quot; (Зарегистрировано в Минюсте России 14.03.2018 N 50338) {КонсультантПлюс}">
        <w:r>
          <w:rPr>
            <w:sz w:val="20"/>
            <w:color w:val="0000ff"/>
          </w:rPr>
          <w:t xml:space="preserve">классификацией</w:t>
        </w:r>
      </w:hyperlink>
      <w:r>
        <w:rPr>
          <w:sz w:val="20"/>
        </w:rPr>
        <w:t xml:space="preserve"> технических средств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утвержденной приказом Министерства труда и социальной защиты Российской Федерации от 13 февраля 2018 г. N 86н (зарегистрирован Министерством юстиции Российской Федерации 14 марта 2018 г., регистрационный N 50338), с изменениями, внесенными приказом Министерства труда и социальной защиты Российской Федерации от 6 мая 2019 г. N 307н (зарегистрирован Министерством юстиции Российской Федерации 31 мая 2019 г., регистрационный N 54799).</w:t>
      </w:r>
    </w:p>
    <w:p>
      <w:pPr>
        <w:pStyle w:val="0"/>
        <w:spacing w:before="200" w:line-rule="auto"/>
        <w:ind w:firstLine="540"/>
        <w:jc w:val="both"/>
      </w:pPr>
      <w:r>
        <w:rPr>
          <w:sz w:val="20"/>
        </w:rPr>
        <w:t xml:space="preserve">16. При выявлении в ходе проведения экспертной оценки невыполнения техническим средством (изделием) функций по компенсации или устранению стойких ограничений жизнедеятельности инвалида (ветерана) в сравнении с аналогичным техническим средством (изделием), предоставляемым уполномоченным органом, а также несоответствия одному из критериев, указанных в </w:t>
      </w:r>
      <w:hyperlink w:history="0" w:anchor="P100" w:tooltip="15. При принятии решения о соответствии приобретенного инвалидом (ветераном) за собственный счет технического средства (изделия) предоставляемым уполномоченным органом техническим средствам (изделиям) Комиссия руководствуется следующими критериями:">
        <w:r>
          <w:rPr>
            <w:sz w:val="20"/>
            <w:color w:val="0000ff"/>
          </w:rPr>
          <w:t xml:space="preserve">пункте 15</w:t>
        </w:r>
      </w:hyperlink>
      <w:r>
        <w:rPr>
          <w:sz w:val="20"/>
        </w:rPr>
        <w:t xml:space="preserve"> настоящего Порядка, Комиссией принимается решение о несоответствии приобретенного инвалидом (ветераном) технического средства (изделия) предоставляемым уполномоченным органом техническим средствам (изделиям).</w:t>
      </w:r>
    </w:p>
    <w:p>
      <w:pPr>
        <w:pStyle w:val="0"/>
        <w:spacing w:before="200" w:line-rule="auto"/>
        <w:ind w:firstLine="540"/>
        <w:jc w:val="both"/>
      </w:pPr>
      <w:r>
        <w:rPr>
          <w:sz w:val="20"/>
        </w:rPr>
        <w:t xml:space="preserve">В случае выполнения техническим средством (изделием) функций по компенсации или устранению стойких ограничений жизнедеятельности инвалида (ветерана) в сравнении с аналогичным техническим средством (изделием), предоставляемым уполномоченным органом, а также соответствия критериям, предусмотренным </w:t>
      </w:r>
      <w:hyperlink w:history="0" w:anchor="P100" w:tooltip="15. При принятии решения о соответствии приобретенного инвалидом (ветераном) за собственный счет технического средства (изделия) предоставляемым уполномоченным органом техническим средствам (изделиям) Комиссия руководствуется следующими критериями:">
        <w:r>
          <w:rPr>
            <w:sz w:val="20"/>
            <w:color w:val="0000ff"/>
          </w:rPr>
          <w:t xml:space="preserve">пунктом 15</w:t>
        </w:r>
      </w:hyperlink>
      <w:r>
        <w:rPr>
          <w:sz w:val="20"/>
        </w:rPr>
        <w:t xml:space="preserve"> настоящего Порядка, Комиссией принимается решение о соответствии приобретенного инвалидом (ветераном) технического средства (изделия) предоставляемым уполномоченным органом техническим средствам (изделиям).</w:t>
      </w:r>
    </w:p>
    <w:p>
      <w:pPr>
        <w:pStyle w:val="0"/>
        <w:spacing w:before="200" w:line-rule="auto"/>
        <w:ind w:firstLine="540"/>
        <w:jc w:val="both"/>
      </w:pPr>
      <w:r>
        <w:rPr>
          <w:sz w:val="20"/>
        </w:rPr>
        <w:t xml:space="preserve">17. Решения Комиссии о необходимости ремонта или замены, в том числе досрочной замены технического средства (изделия), либо о возможности и сроке дальнейшего пользования им, либо о соответствии (несоответствии) приобретенного инвалидом за собственный счет технического средства (изделия) предоставляемым уполномоченным органом техническим средствам (изделиям) в течение двух рабочих дней после проведения экспертной оценки оформляются протоколом, который подписывается председательствующим на заседании Комиссии и членами Комиссии, принимавшими участие в ее заседании.</w:t>
      </w:r>
    </w:p>
    <w:p>
      <w:pPr>
        <w:pStyle w:val="0"/>
        <w:spacing w:before="200" w:line-rule="auto"/>
        <w:ind w:firstLine="540"/>
        <w:jc w:val="both"/>
      </w:pPr>
      <w:r>
        <w:rPr>
          <w:sz w:val="20"/>
        </w:rPr>
        <w:t xml:space="preserve">На основании данного протокола уполномоченным органом готовится заключение медико-технической экспертизы по </w:t>
      </w:r>
      <w:hyperlink w:history="0" w:anchor="P139" w:tooltip="                                Заключение">
        <w:r>
          <w:rPr>
            <w:sz w:val="20"/>
            <w:color w:val="0000ff"/>
          </w:rPr>
          <w:t xml:space="preserve">форме</w:t>
        </w:r>
      </w:hyperlink>
      <w:r>
        <w:rPr>
          <w:sz w:val="20"/>
        </w:rPr>
        <w:t xml:space="preserve">, предусмотренной приложением N 2, в 2 экземплярах, один из которых выдается инвалиду (ветерану) (далее - заключение), в котором делается вывод о необходимости ремонта или замены, в том числе досрочной замены технического средства (изделия), либо о возможности и сроке дальнейшего пользования им, либо о соответствии (несоответствии) приобретенного инвалидом за собственный счет технического средства (изделия) предоставляемым уполномоченным органом техническим средствам (изделиям) с указанием причин принятия такого решения. Заключение в форме электронного документа направляется в личный кабинет инвалида (ветерана) на едином портале.</w:t>
      </w:r>
    </w:p>
    <w:p>
      <w:pPr>
        <w:pStyle w:val="0"/>
        <w:jc w:val="both"/>
      </w:pPr>
      <w:r>
        <w:rPr>
          <w:sz w:val="20"/>
        </w:rPr>
        <w:t xml:space="preserve">(в ред. </w:t>
      </w:r>
      <w:hyperlink w:history="0" r:id="rId35" w:tooltip="Приказ Минтруда России от 03.12.2021 N 848н &quot;О внесении изменений в Порядок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 {КонсультантПлюс}">
        <w:r>
          <w:rPr>
            <w:sz w:val="20"/>
            <w:color w:val="0000ff"/>
          </w:rPr>
          <w:t xml:space="preserve">Приказа</w:t>
        </w:r>
      </w:hyperlink>
      <w:r>
        <w:rPr>
          <w:sz w:val="20"/>
        </w:rPr>
        <w:t xml:space="preserve"> Минтруда России от 03.12.2021 N 848н)</w:t>
      </w:r>
    </w:p>
    <w:p>
      <w:pPr>
        <w:pStyle w:val="0"/>
        <w:spacing w:before="200" w:line-rule="auto"/>
        <w:ind w:firstLine="540"/>
        <w:jc w:val="both"/>
      </w:pPr>
      <w:hyperlink w:history="0" w:anchor="P139" w:tooltip="                                Заключение">
        <w:r>
          <w:rPr>
            <w:sz w:val="20"/>
            <w:color w:val="0000ff"/>
          </w:rPr>
          <w:t xml:space="preserve">Заключение</w:t>
        </w:r>
      </w:hyperlink>
      <w:r>
        <w:rPr>
          <w:sz w:val="20"/>
        </w:rPr>
        <w:t xml:space="preserve"> подписывается представителем уполномоченного органа в лице председателя Комиссии (в его отсутствие - заместителем председателя Комиссии).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30 августа 2019 г. N 605н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6" w:tooltip="Приказ Минтруда России от 15.12.2022 N 782н (ред. от 16.04.2024) &quot;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quot;О Фонде пенсионного и социального страхования Российской Федерации&quot; (Зарегистрировано в Минюсте России 01.03.2023 N 72478) (с изм. и доп., вступ. в силу с 01.07.2024) {КонсультантПлюс}">
              <w:r>
                <w:rPr>
                  <w:sz w:val="20"/>
                  <w:color w:val="0000ff"/>
                </w:rPr>
                <w:t xml:space="preserve">Приказа</w:t>
              </w:r>
            </w:hyperlink>
            <w:r>
              <w:rPr>
                <w:sz w:val="20"/>
                <w:color w:val="392c69"/>
              </w:rPr>
              <w:t xml:space="preserve"> Минтруда России от 15.12.2022 N 782н)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территориального органа Фонда пенсионного и</w:t>
      </w:r>
    </w:p>
    <w:p>
      <w:pPr>
        <w:pStyle w:val="1"/>
        <w:jc w:val="both"/>
      </w:pPr>
      <w:r>
        <w:rPr>
          <w:sz w:val="20"/>
        </w:rPr>
        <w:t xml:space="preserve">   социального страхования Российской Федерации или органа исполнительной</w:t>
      </w:r>
    </w:p>
    <w:p>
      <w:pPr>
        <w:pStyle w:val="1"/>
        <w:jc w:val="both"/>
      </w:pPr>
      <w:r>
        <w:rPr>
          <w:sz w:val="20"/>
        </w:rPr>
        <w:t xml:space="preserve">           власти субъекта Российской Федерации, уполномоченного</w:t>
      </w:r>
    </w:p>
    <w:p>
      <w:pPr>
        <w:pStyle w:val="1"/>
        <w:jc w:val="both"/>
      </w:pPr>
      <w:r>
        <w:rPr>
          <w:sz w:val="20"/>
        </w:rPr>
        <w:t xml:space="preserve">         на осуществление переданных в соответствии с заключенным</w:t>
      </w:r>
    </w:p>
    <w:p>
      <w:pPr>
        <w:pStyle w:val="1"/>
        <w:jc w:val="both"/>
      </w:pPr>
      <w:r>
        <w:rPr>
          <w:sz w:val="20"/>
        </w:rPr>
        <w:t xml:space="preserve">       Министерством труда и социальной защиты Российской Федерации</w:t>
      </w:r>
    </w:p>
    <w:p>
      <w:pPr>
        <w:pStyle w:val="1"/>
        <w:jc w:val="both"/>
      </w:pPr>
      <w:r>
        <w:rPr>
          <w:sz w:val="20"/>
        </w:rPr>
        <w:t xml:space="preserve">        и высшим органом исполнительной власти субъекта Российской</w:t>
      </w:r>
    </w:p>
    <w:p>
      <w:pPr>
        <w:pStyle w:val="1"/>
        <w:jc w:val="both"/>
      </w:pPr>
      <w:r>
        <w:rPr>
          <w:sz w:val="20"/>
        </w:rPr>
        <w:t xml:space="preserve">           Федерации соглашением полномочий Российской Федерации</w:t>
      </w:r>
    </w:p>
    <w:p>
      <w:pPr>
        <w:pStyle w:val="1"/>
        <w:jc w:val="both"/>
      </w:pPr>
      <w:r>
        <w:rPr>
          <w:sz w:val="20"/>
        </w:rPr>
        <w:t xml:space="preserve">             по предоставлению мер социальной защиты инвалидам</w:t>
      </w:r>
    </w:p>
    <w:p>
      <w:pPr>
        <w:pStyle w:val="1"/>
        <w:jc w:val="both"/>
      </w:pPr>
      <w:r>
        <w:rPr>
          <w:sz w:val="20"/>
        </w:rPr>
        <w:t xml:space="preserve">         и отдельным категориям граждан из числа ветеранов в части</w:t>
      </w:r>
    </w:p>
    <w:p>
      <w:pPr>
        <w:pStyle w:val="1"/>
        <w:jc w:val="both"/>
      </w:pPr>
      <w:r>
        <w:rPr>
          <w:sz w:val="20"/>
        </w:rPr>
        <w:t xml:space="preserve">             обеспечения техническими средствами реабилитации,</w:t>
      </w:r>
    </w:p>
    <w:p>
      <w:pPr>
        <w:pStyle w:val="1"/>
        <w:jc w:val="both"/>
      </w:pPr>
      <w:r>
        <w:rPr>
          <w:sz w:val="20"/>
        </w:rPr>
        <w:t xml:space="preserve">          протезами, протезно-ортопедическими изделиями, а также</w:t>
      </w:r>
    </w:p>
    <w:p>
      <w:pPr>
        <w:pStyle w:val="1"/>
        <w:jc w:val="both"/>
      </w:pPr>
      <w:r>
        <w:rPr>
          <w:sz w:val="20"/>
        </w:rPr>
        <w:t xml:space="preserve">                        услугами по их ремонту </w:t>
      </w:r>
      <w:hyperlink w:history="0" w:anchor="P234" w:tooltip="&lt;1&gt; Далее - уполномоченный орган.">
        <w:r>
          <w:rPr>
            <w:sz w:val="20"/>
            <w:color w:val="0000ff"/>
          </w:rPr>
          <w:t xml:space="preserve">&lt;1&gt;</w:t>
        </w:r>
      </w:hyperlink>
      <w:r>
        <w:rPr>
          <w:sz w:val="20"/>
        </w:rPr>
        <w:t xml:space="preserve">)</w:t>
      </w:r>
    </w:p>
    <w:p>
      <w:pPr>
        <w:pStyle w:val="1"/>
        <w:jc w:val="both"/>
      </w:pPr>
      <w:r>
        <w:rPr>
          <w:sz w:val="20"/>
        </w:rPr>
      </w:r>
    </w:p>
    <w:bookmarkStart w:id="139" w:name="P139"/>
    <w:bookmarkEnd w:id="139"/>
    <w:p>
      <w:pPr>
        <w:pStyle w:val="1"/>
        <w:jc w:val="both"/>
      </w:pPr>
      <w:r>
        <w:rPr>
          <w:sz w:val="20"/>
        </w:rPr>
        <w:t xml:space="preserve">                                Заключение</w:t>
      </w:r>
    </w:p>
    <w:p>
      <w:pPr>
        <w:pStyle w:val="1"/>
        <w:jc w:val="both"/>
      </w:pPr>
      <w:r>
        <w:rPr>
          <w:sz w:val="20"/>
        </w:rPr>
        <w:t xml:space="preserve">        медико-технической экспертизы по установлению необходимости</w:t>
      </w:r>
    </w:p>
    <w:p>
      <w:pPr>
        <w:pStyle w:val="1"/>
        <w:jc w:val="both"/>
      </w:pPr>
      <w:r>
        <w:rPr>
          <w:sz w:val="20"/>
        </w:rPr>
        <w:t xml:space="preserve">             ремонта или замены, в том числе досрочной замены</w:t>
      </w:r>
    </w:p>
    <w:p>
      <w:pPr>
        <w:pStyle w:val="1"/>
        <w:jc w:val="both"/>
      </w:pPr>
      <w:r>
        <w:rPr>
          <w:sz w:val="20"/>
        </w:rPr>
        <w:t xml:space="preserve">                технических средств реабилитации, протезов,</w:t>
      </w:r>
    </w:p>
    <w:p>
      <w:pPr>
        <w:pStyle w:val="1"/>
        <w:jc w:val="both"/>
      </w:pPr>
      <w:r>
        <w:rPr>
          <w:sz w:val="20"/>
        </w:rPr>
        <w:t xml:space="preserve">               протезно-ортопедических изделий, возможности</w:t>
      </w:r>
    </w:p>
    <w:p>
      <w:pPr>
        <w:pStyle w:val="1"/>
        <w:jc w:val="both"/>
      </w:pPr>
      <w:r>
        <w:rPr>
          <w:sz w:val="20"/>
        </w:rPr>
        <w:t xml:space="preserve">           и срока дальнейшего пользования ими, по установлению</w:t>
      </w:r>
    </w:p>
    <w:p>
      <w:pPr>
        <w:pStyle w:val="1"/>
        <w:jc w:val="both"/>
      </w:pPr>
      <w:r>
        <w:rPr>
          <w:sz w:val="20"/>
        </w:rPr>
        <w:t xml:space="preserve">            соответствия приобретенных инвалидами (ветеранами)</w:t>
      </w:r>
    </w:p>
    <w:p>
      <w:pPr>
        <w:pStyle w:val="1"/>
        <w:jc w:val="both"/>
      </w:pPr>
      <w:r>
        <w:rPr>
          <w:sz w:val="20"/>
        </w:rPr>
        <w:t xml:space="preserve">           за собственный счет технических средств реабилитации,</w:t>
      </w:r>
    </w:p>
    <w:p>
      <w:pPr>
        <w:pStyle w:val="1"/>
        <w:jc w:val="both"/>
      </w:pPr>
      <w:r>
        <w:rPr>
          <w:sz w:val="20"/>
        </w:rPr>
        <w:t xml:space="preserve">         протезов, протезно-ортопедических изделий предоставляемым</w:t>
      </w:r>
    </w:p>
    <w:p>
      <w:pPr>
        <w:pStyle w:val="1"/>
        <w:jc w:val="both"/>
      </w:pPr>
      <w:r>
        <w:rPr>
          <w:sz w:val="20"/>
        </w:rPr>
        <w:t xml:space="preserve">        уполномоченным органом техническим средствам реабилитации,</w:t>
      </w:r>
    </w:p>
    <w:p>
      <w:pPr>
        <w:pStyle w:val="1"/>
        <w:jc w:val="both"/>
      </w:pPr>
      <w:r>
        <w:rPr>
          <w:sz w:val="20"/>
        </w:rPr>
        <w:t xml:space="preserve">              протезам, протезно-ортопедическим изделиям </w:t>
      </w:r>
      <w:hyperlink w:history="0" w:anchor="P235" w:tooltip="&lt;2&gt; Далее - технические средства (изделия).">
        <w:r>
          <w:rPr>
            <w:sz w:val="20"/>
            <w:color w:val="0000ff"/>
          </w:rPr>
          <w:t xml:space="preserve">&lt;2&gt;</w:t>
        </w:r>
      </w:hyperlink>
    </w:p>
    <w:p>
      <w:pPr>
        <w:pStyle w:val="1"/>
        <w:jc w:val="both"/>
      </w:pPr>
      <w:r>
        <w:rPr>
          <w:sz w:val="20"/>
        </w:rPr>
      </w:r>
    </w:p>
    <w:p>
      <w:pPr>
        <w:pStyle w:val="1"/>
        <w:jc w:val="both"/>
      </w:pPr>
      <w:r>
        <w:rPr>
          <w:sz w:val="20"/>
        </w:rPr>
        <w:t xml:space="preserve">                    N ______ от "__" __________ 20__ г.</w:t>
      </w:r>
    </w:p>
    <w:p>
      <w:pPr>
        <w:pStyle w:val="1"/>
        <w:jc w:val="both"/>
      </w:pPr>
      <w:r>
        <w:rPr>
          <w:sz w:val="20"/>
        </w:rPr>
      </w:r>
    </w:p>
    <w:p>
      <w:pPr>
        <w:pStyle w:val="1"/>
        <w:jc w:val="both"/>
      </w:pPr>
      <w:r>
        <w:rPr>
          <w:sz w:val="20"/>
        </w:rPr>
        <w:t xml:space="preserve">Выдано</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инвалида (ветерана)</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инвалида (ветерана): ________________________________________</w:t>
      </w:r>
    </w:p>
    <w:p>
      <w:pPr>
        <w:pStyle w:val="1"/>
        <w:jc w:val="both"/>
      </w:pPr>
      <w:r>
        <w:rPr>
          <w:sz w:val="20"/>
        </w:rPr>
        <w:t xml:space="preserve">Адрес места жительства инвалида (ветерана), при отсутствии места жительства</w:t>
      </w:r>
    </w:p>
    <w:p>
      <w:pPr>
        <w:pStyle w:val="1"/>
        <w:jc w:val="both"/>
      </w:pPr>
      <w:r>
        <w:rPr>
          <w:sz w:val="20"/>
        </w:rPr>
        <w:t xml:space="preserve">указывается  адрес  места пребывания, фактического проживания на территории</w:t>
      </w:r>
    </w:p>
    <w:p>
      <w:pPr>
        <w:pStyle w:val="1"/>
        <w:jc w:val="both"/>
      </w:pPr>
      <w:r>
        <w:rPr>
          <w:sz w:val="20"/>
        </w:rPr>
        <w:t xml:space="preserve">Российской Федерации (нужное подчеркнуть): 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Контактные телефоны инвалида (ветерана): __________________________________</w:t>
      </w:r>
    </w:p>
    <w:p>
      <w:pPr>
        <w:pStyle w:val="1"/>
        <w:jc w:val="both"/>
      </w:pPr>
      <w:r>
        <w:rPr>
          <w:sz w:val="20"/>
        </w:rPr>
        <w:t xml:space="preserve">Вид   технического   средства  (изделия),  представленного  для  проведения</w:t>
      </w:r>
    </w:p>
    <w:p>
      <w:pPr>
        <w:pStyle w:val="1"/>
        <w:jc w:val="both"/>
      </w:pPr>
      <w:r>
        <w:rPr>
          <w:sz w:val="20"/>
        </w:rPr>
        <w:t xml:space="preserve">медико-технической экспертизы: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Документ, на основании которого инвалид (ветеран) был обеспечен техническим</w:t>
      </w:r>
    </w:p>
    <w:p>
      <w:pPr>
        <w:pStyle w:val="1"/>
        <w:jc w:val="both"/>
      </w:pPr>
      <w:r>
        <w:rPr>
          <w:sz w:val="20"/>
        </w:rPr>
        <w:t xml:space="preserve">средством (изделием):</w:t>
      </w:r>
    </w:p>
    <w:p>
      <w:pPr>
        <w:pStyle w:val="1"/>
        <w:jc w:val="both"/>
      </w:pPr>
      <w:r>
        <w:rPr>
          <w:sz w:val="20"/>
        </w:rPr>
        <w:t xml:space="preserve">    индивидуальная   программа   реабилитации   или   абилитации  инвалида,</w:t>
      </w:r>
    </w:p>
    <w:p>
      <w:pPr>
        <w:pStyle w:val="1"/>
        <w:jc w:val="both"/>
      </w:pPr>
      <w:r>
        <w:rPr>
          <w:sz w:val="20"/>
        </w:rPr>
        <w:t xml:space="preserve">заключение  об  обеспечении  протезами,  протезно-ортопедическими изделиями</w:t>
      </w:r>
    </w:p>
    <w:p>
      <w:pPr>
        <w:pStyle w:val="1"/>
        <w:jc w:val="both"/>
      </w:pPr>
      <w:r>
        <w:rPr>
          <w:sz w:val="20"/>
        </w:rPr>
        <w:t xml:space="preserve">ветерана (нужное подчеркнуть)</w:t>
      </w:r>
    </w:p>
    <w:p>
      <w:pPr>
        <w:pStyle w:val="1"/>
        <w:jc w:val="both"/>
      </w:pPr>
      <w:r>
        <w:rPr>
          <w:sz w:val="20"/>
        </w:rPr>
        <w:t xml:space="preserve">N ____________ дата выдачи ________________________________________________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Медико-техническая   экспертиза   проведена   с  выездом  на  дом  инвалида</w:t>
      </w:r>
    </w:p>
    <w:p>
      <w:pPr>
        <w:pStyle w:val="1"/>
        <w:jc w:val="both"/>
      </w:pPr>
      <w:r>
        <w:rPr>
          <w:sz w:val="20"/>
        </w:rPr>
        <w:t xml:space="preserve">(ветерана)  по  причине  невозможности  представления инвалидом (ветераном)</w:t>
      </w:r>
    </w:p>
    <w:p>
      <w:pPr>
        <w:pStyle w:val="1"/>
        <w:jc w:val="both"/>
      </w:pPr>
      <w:r>
        <w:rPr>
          <w:sz w:val="20"/>
        </w:rPr>
        <w:t xml:space="preserve">технического средства (изделия) вследствие (нужное отметить):</w:t>
      </w:r>
    </w:p>
    <w:p>
      <w:pPr>
        <w:pStyle w:val="1"/>
        <w:jc w:val="both"/>
      </w:pPr>
      <w:r>
        <w:rPr>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Pr>
          <w:sz w:val="20"/>
        </w:rPr>
        <w:t xml:space="preserve"> затруднения в транспортировке технического средства (изделия);</w:t>
      </w:r>
    </w:p>
    <w:p>
      <w:pPr>
        <w:pStyle w:val="1"/>
        <w:jc w:val="both"/>
      </w:pPr>
      <w:r>
        <w:rPr>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Pr>
          <w:sz w:val="20"/>
        </w:rPr>
        <w:t xml:space="preserve"> состояния здоровья инвалида (ветерана).</w:t>
      </w:r>
    </w:p>
    <w:p>
      <w:pPr>
        <w:pStyle w:val="1"/>
        <w:jc w:val="both"/>
      </w:pPr>
      <w:r>
        <w:rPr>
          <w:sz w:val="20"/>
        </w:rPr>
      </w:r>
    </w:p>
    <w:p>
      <w:pPr>
        <w:pStyle w:val="1"/>
        <w:jc w:val="both"/>
      </w:pPr>
      <w:r>
        <w:rPr>
          <w:sz w:val="20"/>
        </w:rPr>
        <w:t xml:space="preserve">Заключение медико-технической экспертизы (нужное отметить):</w:t>
      </w:r>
    </w:p>
    <w:p>
      <w:pPr>
        <w:pStyle w:val="1"/>
        <w:jc w:val="both"/>
      </w:pPr>
      <w:r>
        <w:rPr>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Pr>
          <w:sz w:val="20"/>
        </w:rPr>
        <w:t xml:space="preserve"> необходим ремонт технического средства (изделия):</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причины принятия решения о необходимости ремонта</w:t>
      </w:r>
    </w:p>
    <w:p>
      <w:pPr>
        <w:pStyle w:val="1"/>
        <w:jc w:val="both"/>
      </w:pPr>
      <w:r>
        <w:rPr>
          <w:sz w:val="20"/>
        </w:rPr>
        <w:t xml:space="preserve">     технического средства (изделия), включая выявленные неисправности</w:t>
      </w:r>
    </w:p>
    <w:p>
      <w:pPr>
        <w:pStyle w:val="1"/>
        <w:jc w:val="both"/>
      </w:pPr>
      <w:r>
        <w:rPr>
          <w:sz w:val="20"/>
        </w:rPr>
        <w:t xml:space="preserve">             и несоответствия технического средства (изделия),</w:t>
      </w:r>
    </w:p>
    <w:p>
      <w:pPr>
        <w:pStyle w:val="1"/>
        <w:jc w:val="both"/>
      </w:pPr>
      <w:r>
        <w:rPr>
          <w:sz w:val="20"/>
        </w:rPr>
        <w:t xml:space="preserve">                        а также процент его износа)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Pr>
          <w:sz w:val="20"/>
        </w:rPr>
        <w:t xml:space="preserve"> необходима замена (досрочная замена) (нужное  подчеркнуть)  технического</w:t>
      </w:r>
    </w:p>
    <w:p>
      <w:pPr>
        <w:pStyle w:val="1"/>
        <w:jc w:val="both"/>
      </w:pPr>
      <w:r>
        <w:rPr>
          <w:sz w:val="20"/>
        </w:rPr>
        <w:t xml:space="preserve">средства (изделия):</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причины принятия решения о необходимости замены</w:t>
      </w:r>
    </w:p>
    <w:p>
      <w:pPr>
        <w:pStyle w:val="1"/>
        <w:jc w:val="both"/>
      </w:pPr>
      <w:r>
        <w:rPr>
          <w:sz w:val="20"/>
        </w:rPr>
        <w:t xml:space="preserve">  (досрочной замены) технического средства (изделия), включая выявленные</w:t>
      </w:r>
    </w:p>
    <w:p>
      <w:pPr>
        <w:pStyle w:val="1"/>
        <w:jc w:val="both"/>
      </w:pPr>
      <w:r>
        <w:rPr>
          <w:sz w:val="20"/>
        </w:rPr>
        <w:t xml:space="preserve">      неисправности и несоответствия технического средства (изделия),</w:t>
      </w:r>
    </w:p>
    <w:p>
      <w:pPr>
        <w:pStyle w:val="1"/>
        <w:jc w:val="both"/>
      </w:pPr>
      <w:r>
        <w:rPr>
          <w:sz w:val="20"/>
        </w:rPr>
        <w:t xml:space="preserve">         процент его износа (при необходимости), а также изменение</w:t>
      </w:r>
    </w:p>
    <w:p>
      <w:pPr>
        <w:pStyle w:val="1"/>
        <w:jc w:val="both"/>
      </w:pPr>
      <w:r>
        <w:rPr>
          <w:sz w:val="20"/>
        </w:rPr>
        <w:t xml:space="preserve">               антропометрических данных инвалида (ветерана)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Pr>
          <w:sz w:val="20"/>
        </w:rPr>
        <w:t xml:space="preserve"> техническое    средство    (изделие)    соответствует    предоставляемым</w:t>
      </w:r>
    </w:p>
    <w:p>
      <w:pPr>
        <w:pStyle w:val="1"/>
        <w:jc w:val="both"/>
      </w:pPr>
      <w:r>
        <w:rPr>
          <w:sz w:val="20"/>
        </w:rPr>
        <w:t xml:space="preserve">уполномоченным органом техническим средствам (изделиям):</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причины принятия решения о соответствии предоставляемым</w:t>
      </w:r>
    </w:p>
    <w:p>
      <w:pPr>
        <w:pStyle w:val="1"/>
        <w:jc w:val="both"/>
      </w:pPr>
      <w:r>
        <w:rPr>
          <w:sz w:val="20"/>
        </w:rPr>
        <w:t xml:space="preserve"> уполномоченным органом техническим средствам (изделиям) с указанием вида</w:t>
      </w:r>
    </w:p>
    <w:p>
      <w:pPr>
        <w:pStyle w:val="1"/>
        <w:jc w:val="both"/>
      </w:pPr>
      <w:r>
        <w:rPr>
          <w:sz w:val="20"/>
        </w:rPr>
        <w:t xml:space="preserve">технического средства (изделия), соответствующему классификации технических</w:t>
      </w:r>
    </w:p>
    <w:p>
      <w:pPr>
        <w:pStyle w:val="1"/>
        <w:jc w:val="both"/>
      </w:pPr>
      <w:r>
        <w:rPr>
          <w:sz w:val="20"/>
        </w:rPr>
        <w:t xml:space="preserve">     средств (изделий) в рамках федерального </w:t>
      </w:r>
      <w:hyperlink w:history="0" r:id="rId38"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перечня</w:t>
        </w:r>
      </w:hyperlink>
      <w:r>
        <w:rPr>
          <w:sz w:val="20"/>
        </w:rPr>
        <w:t xml:space="preserve"> реабилитационных</w:t>
      </w:r>
    </w:p>
    <w:p>
      <w:pPr>
        <w:pStyle w:val="1"/>
        <w:jc w:val="both"/>
      </w:pPr>
      <w:r>
        <w:rPr>
          <w:sz w:val="20"/>
        </w:rPr>
        <w:t xml:space="preserve">  мероприятий, технических средств реабилитации и услуг, предоставляемых</w:t>
      </w:r>
    </w:p>
    <w:p>
      <w:pPr>
        <w:pStyle w:val="1"/>
        <w:jc w:val="both"/>
      </w:pPr>
      <w:r>
        <w:rPr>
          <w:sz w:val="20"/>
        </w:rPr>
        <w:t xml:space="preserve">            инвалиду, утвержденного распоряжением Правительства</w:t>
      </w:r>
    </w:p>
    <w:p>
      <w:pPr>
        <w:pStyle w:val="1"/>
        <w:jc w:val="both"/>
      </w:pPr>
      <w:r>
        <w:rPr>
          <w:sz w:val="20"/>
        </w:rPr>
        <w:t xml:space="preserve">         Российской Федерации от 30 декабря 2005 г. N 2347-р </w:t>
      </w:r>
      <w:hyperlink w:history="0" w:anchor="P236" w:tooltip="&lt;3&gt; Приказ Министерства труда и социальной защиты Российской Федерации от 13 февраля 2018 г. N 86н &quot;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quot; (зарегистрирован Министерством юстиции Российской Федерации 14 марта 2018 г., регистрационный N 50338), с изменени...">
        <w:r>
          <w:rPr>
            <w:sz w:val="20"/>
            <w:color w:val="0000ff"/>
          </w:rPr>
          <w:t xml:space="preserve">&lt;3&gt;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Pr>
          <w:sz w:val="20"/>
        </w:rPr>
        <w:t xml:space="preserve"> техническое   средство  (изделие)   не   соответствует   предоставляемым</w:t>
      </w:r>
    </w:p>
    <w:p>
      <w:pPr>
        <w:pStyle w:val="1"/>
        <w:jc w:val="both"/>
      </w:pPr>
      <w:r>
        <w:rPr>
          <w:sz w:val="20"/>
        </w:rPr>
        <w:t xml:space="preserve">уполномоченным органом техническим средствам (изделиям):</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причины принятия решения о несоответствии предоставляемым</w:t>
      </w:r>
    </w:p>
    <w:p>
      <w:pPr>
        <w:pStyle w:val="1"/>
        <w:jc w:val="both"/>
      </w:pPr>
      <w:r>
        <w:rPr>
          <w:sz w:val="20"/>
        </w:rPr>
        <w:t xml:space="preserve">          уполномоченным органом техническим средствам (изделиям)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Pr>
          <w:sz w:val="20"/>
        </w:rPr>
        <w:t xml:space="preserve"> возможно   дальнейшее  пользование  техническим  средством (изделием) на</w:t>
      </w:r>
    </w:p>
    <w:p>
      <w:pPr>
        <w:pStyle w:val="1"/>
        <w:jc w:val="both"/>
      </w:pPr>
      <w:r>
        <w:rPr>
          <w:sz w:val="20"/>
        </w:rPr>
        <w:t xml:space="preserve">срок: ____________________________________________________________________.</w:t>
      </w:r>
    </w:p>
    <w:p>
      <w:pPr>
        <w:pStyle w:val="1"/>
        <w:jc w:val="both"/>
      </w:pPr>
      <w:r>
        <w:rPr>
          <w:sz w:val="20"/>
        </w:rPr>
        <w:t xml:space="preserve">         (указывается срок дальнейшего пользования с учетом проведенной</w:t>
      </w:r>
    </w:p>
    <w:p>
      <w:pPr>
        <w:pStyle w:val="1"/>
        <w:jc w:val="both"/>
      </w:pPr>
      <w:r>
        <w:rPr>
          <w:sz w:val="20"/>
        </w:rPr>
        <w:t xml:space="preserve">       экспертной оценки состояния работоспособности технического средства</w:t>
      </w:r>
    </w:p>
    <w:p>
      <w:pPr>
        <w:pStyle w:val="1"/>
        <w:jc w:val="both"/>
      </w:pPr>
      <w:r>
        <w:rPr>
          <w:sz w:val="20"/>
        </w:rPr>
        <w:t xml:space="preserve">        (изделия), его соответствия требуемым функциональным параметрам,</w:t>
      </w:r>
    </w:p>
    <w:p>
      <w:pPr>
        <w:pStyle w:val="1"/>
        <w:jc w:val="both"/>
      </w:pPr>
      <w:r>
        <w:rPr>
          <w:sz w:val="20"/>
        </w:rPr>
        <w:t xml:space="preserve">          медицинскому назначению и клинико-функциональным требованиям)</w:t>
      </w:r>
    </w:p>
    <w:p>
      <w:pPr>
        <w:pStyle w:val="1"/>
        <w:jc w:val="both"/>
      </w:pPr>
      <w:r>
        <w:rPr>
          <w:sz w:val="20"/>
        </w:rPr>
      </w:r>
    </w:p>
    <w:p>
      <w:pPr>
        <w:pStyle w:val="1"/>
        <w:jc w:val="both"/>
      </w:pPr>
      <w:r>
        <w:rPr>
          <w:sz w:val="20"/>
        </w:rPr>
        <w:t xml:space="preserve">Представитель           ______________     ________________________________</w:t>
      </w:r>
    </w:p>
    <w:p>
      <w:pPr>
        <w:pStyle w:val="1"/>
        <w:jc w:val="both"/>
      </w:pPr>
      <w:r>
        <w:rPr>
          <w:sz w:val="20"/>
        </w:rPr>
        <w:t xml:space="preserve">уполномоченного органа    (подпись)             (расшифровка подписи)</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234" w:name="P234"/>
    <w:bookmarkEnd w:id="234"/>
    <w:p>
      <w:pPr>
        <w:pStyle w:val="0"/>
        <w:spacing w:before="200" w:line-rule="auto"/>
        <w:ind w:firstLine="540"/>
        <w:jc w:val="both"/>
      </w:pPr>
      <w:r>
        <w:rPr>
          <w:sz w:val="20"/>
        </w:rPr>
        <w:t xml:space="preserve">&lt;1&gt; Далее - уполномоченный орган.</w:t>
      </w:r>
    </w:p>
    <w:bookmarkStart w:id="235" w:name="P235"/>
    <w:bookmarkEnd w:id="235"/>
    <w:p>
      <w:pPr>
        <w:pStyle w:val="0"/>
        <w:spacing w:before="200" w:line-rule="auto"/>
        <w:ind w:firstLine="540"/>
        <w:jc w:val="both"/>
      </w:pPr>
      <w:r>
        <w:rPr>
          <w:sz w:val="20"/>
        </w:rPr>
        <w:t xml:space="preserve">&lt;2&gt; Далее - технические средства (изделия).</w:t>
      </w:r>
    </w:p>
    <w:bookmarkStart w:id="236" w:name="P236"/>
    <w:bookmarkEnd w:id="236"/>
    <w:p>
      <w:pPr>
        <w:pStyle w:val="0"/>
        <w:spacing w:before="200" w:line-rule="auto"/>
        <w:ind w:firstLine="540"/>
        <w:jc w:val="both"/>
      </w:pPr>
      <w:r>
        <w:rPr>
          <w:sz w:val="20"/>
        </w:rPr>
        <w:t xml:space="preserve">&lt;3&gt; </w:t>
      </w:r>
      <w:hyperlink w:history="0" r:id="rId39" w:tooltip="Приказ Минтруда России от 13.02.2018 N 86н (ред. от 10.07.2024) &quot;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quot; (Зарегистрировано в Минюсте России 14.03.2018 N 5033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13 февраля 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(зарегистрирован Министерством юстиции Российской Федерации 14 марта 2018 г., регистрационный N 50338), с изменениями, внесенными приказом Министерства труда и социальной защиты Российской Федерации от 6 мая 2019 г. N 307н (зарегистрирован Министерством юстиции Российской Федерации 31 мая 2019 г., регистрационный N 54799).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30.08.2019 N 605н</w:t>
            <w:br/>
            <w:t>(ред. от 15.12.2022)</w:t>
            <w:br/>
            <w:t>"Об утверждении Порядка осуществления уполномоченным 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1761&amp;dst=100006" TargetMode = "External"/>
	<Relationship Id="rId8" Type="http://schemas.openxmlformats.org/officeDocument/2006/relationships/hyperlink" Target="https://login.consultant.ru/link/?req=doc&amp;base=LAW&amp;n=406388&amp;dst=100006" TargetMode = "External"/>
	<Relationship Id="rId9" Type="http://schemas.openxmlformats.org/officeDocument/2006/relationships/hyperlink" Target="https://login.consultant.ru/link/?req=doc&amp;base=LAW&amp;n=465006&amp;dst=100232" TargetMode = "External"/>
	<Relationship Id="rId10" Type="http://schemas.openxmlformats.org/officeDocument/2006/relationships/hyperlink" Target="https://login.consultant.ru/link/?req=doc&amp;base=LAW&amp;n=468309&amp;dst=100073" TargetMode = "External"/>
	<Relationship Id="rId11" Type="http://schemas.openxmlformats.org/officeDocument/2006/relationships/hyperlink" Target="https://login.consultant.ru/link/?req=doc&amp;base=LAW&amp;n=468309&amp;dst=100037" TargetMode = "External"/>
	<Relationship Id="rId12" Type="http://schemas.openxmlformats.org/officeDocument/2006/relationships/hyperlink" Target="https://login.consultant.ru/link/?req=doc&amp;base=LAW&amp;n=468309&amp;dst=35" TargetMode = "External"/>
	<Relationship Id="rId13" Type="http://schemas.openxmlformats.org/officeDocument/2006/relationships/hyperlink" Target="https://login.consultant.ru/link/?req=doc&amp;base=LAW&amp;n=287387" TargetMode = "External"/>
	<Relationship Id="rId14" Type="http://schemas.openxmlformats.org/officeDocument/2006/relationships/hyperlink" Target="https://login.consultant.ru/link/?req=doc&amp;base=LAW&amp;n=381761&amp;dst=100006" TargetMode = "External"/>
	<Relationship Id="rId15" Type="http://schemas.openxmlformats.org/officeDocument/2006/relationships/hyperlink" Target="https://login.consultant.ru/link/?req=doc&amp;base=LAW&amp;n=406388&amp;dst=100006" TargetMode = "External"/>
	<Relationship Id="rId16" Type="http://schemas.openxmlformats.org/officeDocument/2006/relationships/hyperlink" Target="https://login.consultant.ru/link/?req=doc&amp;base=LAW&amp;n=465006&amp;dst=100233" TargetMode = "External"/>
	<Relationship Id="rId17" Type="http://schemas.openxmlformats.org/officeDocument/2006/relationships/hyperlink" Target="https://login.consultant.ru/link/?req=doc&amp;base=LAW&amp;n=461822&amp;dst=100007" TargetMode = "External"/>
	<Relationship Id="rId18" Type="http://schemas.openxmlformats.org/officeDocument/2006/relationships/hyperlink" Target="https://login.consultant.ru/link/?req=doc&amp;base=LAW&amp;n=465006&amp;dst=100233" TargetMode = "External"/>
	<Relationship Id="rId19" Type="http://schemas.openxmlformats.org/officeDocument/2006/relationships/hyperlink" Target="https://login.consultant.ru/link/?req=doc&amp;base=LAW&amp;n=468309&amp;dst=124" TargetMode = "External"/>
	<Relationship Id="rId20" Type="http://schemas.openxmlformats.org/officeDocument/2006/relationships/hyperlink" Target="https://login.consultant.ru/link/?req=doc&amp;base=LAW&amp;n=468309&amp;dst=100037" TargetMode = "External"/>
	<Relationship Id="rId21" Type="http://schemas.openxmlformats.org/officeDocument/2006/relationships/hyperlink" Target="https://login.consultant.ru/link/?req=doc&amp;base=LAW&amp;n=468309&amp;dst=100064" TargetMode = "External"/>
	<Relationship Id="rId22" Type="http://schemas.openxmlformats.org/officeDocument/2006/relationships/hyperlink" Target="https://login.consultant.ru/link/?req=doc&amp;base=LAW&amp;n=406388&amp;dst=100010" TargetMode = "External"/>
	<Relationship Id="rId23" Type="http://schemas.openxmlformats.org/officeDocument/2006/relationships/hyperlink" Target="https://login.consultant.ru/link/?req=doc&amp;base=LAW&amp;n=468309&amp;dst=124" TargetMode = "External"/>
	<Relationship Id="rId24" Type="http://schemas.openxmlformats.org/officeDocument/2006/relationships/hyperlink" Target="https://login.consultant.ru/link/?req=doc&amp;base=LAW&amp;n=468309&amp;dst=100037" TargetMode = "External"/>
	<Relationship Id="rId25" Type="http://schemas.openxmlformats.org/officeDocument/2006/relationships/hyperlink" Target="https://login.consultant.ru/link/?req=doc&amp;base=LAW&amp;n=468309&amp;dst=100064" TargetMode = "External"/>
	<Relationship Id="rId26" Type="http://schemas.openxmlformats.org/officeDocument/2006/relationships/hyperlink" Target="https://login.consultant.ru/link/?req=doc&amp;base=LAW&amp;n=406388&amp;dst=100014" TargetMode = "External"/>
	<Relationship Id="rId27" Type="http://schemas.openxmlformats.org/officeDocument/2006/relationships/hyperlink" Target="https://login.consultant.ru/link/?req=doc&amp;base=LAW&amp;n=468309&amp;dst=100011" TargetMode = "External"/>
	<Relationship Id="rId28" Type="http://schemas.openxmlformats.org/officeDocument/2006/relationships/hyperlink" Target="https://login.consultant.ru/link/?req=doc&amp;base=LAW&amp;n=468309&amp;dst=100011" TargetMode = "External"/>
	<Relationship Id="rId29" Type="http://schemas.openxmlformats.org/officeDocument/2006/relationships/hyperlink" Target="https://login.consultant.ru/link/?req=doc&amp;base=LAW&amp;n=368014&amp;dst=100016" TargetMode = "External"/>
	<Relationship Id="rId30" Type="http://schemas.openxmlformats.org/officeDocument/2006/relationships/hyperlink" Target="https://login.consultant.ru/link/?req=doc&amp;base=LAW&amp;n=468309&amp;dst=33" TargetMode = "External"/>
	<Relationship Id="rId31" Type="http://schemas.openxmlformats.org/officeDocument/2006/relationships/hyperlink" Target="https://login.consultant.ru/link/?req=doc&amp;base=LAW&amp;n=468309&amp;dst=33" TargetMode = "External"/>
	<Relationship Id="rId32" Type="http://schemas.openxmlformats.org/officeDocument/2006/relationships/hyperlink" Target="https://login.consultant.ru/link/?req=doc&amp;base=LAW&amp;n=468309&amp;dst=100011" TargetMode = "External"/>
	<Relationship Id="rId33" Type="http://schemas.openxmlformats.org/officeDocument/2006/relationships/hyperlink" Target="https://login.consultant.ru/link/?req=doc&amp;base=LAW&amp;n=468309&amp;dst=100011" TargetMode = "External"/>
	<Relationship Id="rId34" Type="http://schemas.openxmlformats.org/officeDocument/2006/relationships/hyperlink" Target="https://login.consultant.ru/link/?req=doc&amp;base=LAW&amp;n=483328&amp;dst=100015" TargetMode = "External"/>
	<Relationship Id="rId35" Type="http://schemas.openxmlformats.org/officeDocument/2006/relationships/hyperlink" Target="https://login.consultant.ru/link/?req=doc&amp;base=LAW&amp;n=406388&amp;dst=100016" TargetMode = "External"/>
	<Relationship Id="rId36" Type="http://schemas.openxmlformats.org/officeDocument/2006/relationships/hyperlink" Target="https://login.consultant.ru/link/?req=doc&amp;base=LAW&amp;n=465006&amp;dst=100234" TargetMode = "External"/>
	<Relationship Id="rId37" Type="http://schemas.openxmlformats.org/officeDocument/2006/relationships/image" Target="media/image2.wmf"/>
	<Relationship Id="rId38" Type="http://schemas.openxmlformats.org/officeDocument/2006/relationships/hyperlink" Target="https://login.consultant.ru/link/?req=doc&amp;base=LAW&amp;n=461822&amp;dst=100007" TargetMode = "External"/>
	<Relationship Id="rId39" Type="http://schemas.openxmlformats.org/officeDocument/2006/relationships/hyperlink" Target="https://login.consultant.ru/link/?req=doc&amp;base=LAW&amp;n=4833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30.08.2019 N 605н
(ред. от 15.12.2022)
"Об утверждении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dc:title>
  <dcterms:created xsi:type="dcterms:W3CDTF">2024-12-19T15:08:51Z</dcterms:created>
</cp:coreProperties>
</file>